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A86118"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03725E" w:rsidP="00F752D6">
                  <w:pPr>
                    <w:jc w:val="center"/>
                    <w:rPr>
                      <w:rtl/>
                    </w:rPr>
                  </w:pPr>
                  <w:r w:rsidRPr="0003725E">
                    <w:rPr>
                      <w:rtl/>
                    </w:rPr>
                    <w:t>גיליון מס'  521 כה' חשון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03725E" w:rsidP="008E42F7">
      <w:pPr>
        <w:tabs>
          <w:tab w:val="left" w:pos="5842"/>
        </w:tabs>
        <w:jc w:val="center"/>
        <w:rPr>
          <w:rFonts w:cs="David"/>
          <w:b/>
          <w:bCs/>
          <w:sz w:val="32"/>
          <w:szCs w:val="32"/>
          <w:u w:val="single"/>
          <w:rtl/>
        </w:rPr>
      </w:pPr>
      <w:r>
        <w:rPr>
          <w:rFonts w:cs="David" w:hint="cs"/>
          <w:b/>
          <w:bCs/>
          <w:sz w:val="32"/>
          <w:szCs w:val="32"/>
          <w:u w:val="single"/>
          <w:rtl/>
        </w:rPr>
        <w:t>חיי שרה</w:t>
      </w:r>
    </w:p>
    <w:p w:rsidR="0018559D" w:rsidRDefault="00193573" w:rsidP="00193573">
      <w:pPr>
        <w:tabs>
          <w:tab w:val="center" w:pos="4680"/>
          <w:tab w:val="left" w:pos="5842"/>
          <w:tab w:val="right" w:pos="9360"/>
        </w:tabs>
        <w:rPr>
          <w:rFonts w:eastAsia="Calibri"/>
          <w:rtl/>
        </w:rPr>
      </w:pPr>
      <w:r>
        <w:rPr>
          <w:rFonts w:cs="Guttman Mantova-Decor"/>
          <w:sz w:val="28"/>
          <w:szCs w:val="28"/>
          <w:rtl/>
        </w:rPr>
        <w:tab/>
      </w:r>
      <w:r w:rsidR="00AC5937" w:rsidRPr="009402A4">
        <w:rPr>
          <w:rFonts w:cs="Guttman Mantova-Decor" w:hint="cs"/>
          <w:sz w:val="28"/>
          <w:szCs w:val="28"/>
          <w:rtl/>
        </w:rPr>
        <w:t>רעיונות על הפרשה על פי תורתו של הרב אביגדור נבנצל שליט"א</w:t>
      </w:r>
    </w:p>
    <w:p w:rsidR="0003725E" w:rsidRPr="0003725E" w:rsidRDefault="0003725E" w:rsidP="0003725E">
      <w:pPr>
        <w:jc w:val="both"/>
        <w:rPr>
          <w:rFonts w:asciiTheme="majorBidi" w:eastAsia="Calibri" w:hAnsiTheme="majorBidi" w:cstheme="majorBidi"/>
          <w:rtl/>
        </w:rPr>
      </w:pPr>
      <w:r w:rsidRPr="0003725E">
        <w:rPr>
          <w:rFonts w:eastAsia="Calibri" w:hint="cs"/>
          <w:rtl/>
        </w:rPr>
        <w:t xml:space="preserve">כשאליעזר עבד אברהם מספר ללבן ובתואל את שיחתו עם אדונו אשר הטיל עליו את השליחות להביא אישה לבנו יצחק, הוא אומר: </w:t>
      </w:r>
      <w:r w:rsidRPr="0003725E">
        <w:rPr>
          <w:rFonts w:ascii="Calibri" w:eastAsia="Calibri" w:hAnsi="Calibri" w:cs="Guttman Stam" w:hint="cs"/>
          <w:sz w:val="22"/>
          <w:szCs w:val="22"/>
          <w:rtl/>
        </w:rPr>
        <w:t xml:space="preserve">''וָאֹמַראֶלאֲדֹנִיאֻלַילֹאתֵלֵךְהָאִשָּׁהאַחֲרָי'' </w:t>
      </w:r>
      <w:r w:rsidRPr="0003725E">
        <w:rPr>
          <w:rFonts w:eastAsia="Calibri" w:hint="cs"/>
          <w:sz w:val="16"/>
          <w:szCs w:val="16"/>
          <w:rtl/>
        </w:rPr>
        <w:t xml:space="preserve">(בראשית כד, לט) </w:t>
      </w:r>
      <w:r w:rsidRPr="0003725E">
        <w:rPr>
          <w:rFonts w:asciiTheme="majorBidi" w:eastAsia="Calibri" w:hAnsiTheme="majorBidi" w:cstheme="majorBidi" w:hint="cs"/>
          <w:rtl/>
        </w:rPr>
        <w:t>אלא שבתורה כתוב '</w:t>
      </w:r>
      <w:r w:rsidRPr="0003725E">
        <w:rPr>
          <w:rFonts w:asciiTheme="majorBidi" w:eastAsia="Calibri" w:hAnsiTheme="majorBidi" w:hint="cs"/>
          <w:rtl/>
        </w:rPr>
        <w:t>אֻלַי</w:t>
      </w:r>
      <w:r w:rsidRPr="0003725E">
        <w:rPr>
          <w:rFonts w:asciiTheme="majorBidi" w:eastAsia="Calibri" w:hAnsiTheme="majorBidi" w:cstheme="majorBidi" w:hint="cs"/>
          <w:rtl/>
        </w:rPr>
        <w:t xml:space="preserve">' בלי 'ויו', בניגוד לשיחה המקורית שלו עם אברהם, שם נאמר: </w:t>
      </w:r>
      <w:r w:rsidRPr="0003725E">
        <w:rPr>
          <w:rFonts w:ascii="Calibri" w:eastAsia="Calibri" w:hAnsi="Calibri" w:cs="Guttman Stam" w:hint="cs"/>
          <w:sz w:val="22"/>
          <w:szCs w:val="22"/>
          <w:rtl/>
        </w:rPr>
        <w:t>''אוּלַילֹאתֹאבֶההָאִשָּׁהלָלֶכֶתאַחֲרַי''</w:t>
      </w:r>
      <w:r w:rsidRPr="0003725E">
        <w:rPr>
          <w:rFonts w:asciiTheme="majorBidi" w:eastAsia="Calibri" w:hAnsiTheme="majorBidi" w:cstheme="majorBidi" w:hint="cs"/>
          <w:sz w:val="16"/>
          <w:szCs w:val="16"/>
          <w:rtl/>
        </w:rPr>
        <w:t>(שם ה)</w:t>
      </w:r>
      <w:r w:rsidRPr="0003725E">
        <w:rPr>
          <w:rFonts w:asciiTheme="majorBidi" w:eastAsia="Calibri" w:hAnsiTheme="majorBidi" w:cstheme="majorBidi" w:hint="cs"/>
          <w:rtl/>
        </w:rPr>
        <w:t xml:space="preserve"> '</w:t>
      </w:r>
      <w:r w:rsidRPr="0003725E">
        <w:rPr>
          <w:rFonts w:asciiTheme="majorBidi" w:eastAsia="Calibri" w:hAnsiTheme="majorBidi" w:hint="cs"/>
          <w:rtl/>
        </w:rPr>
        <w:t>אוּלַי</w:t>
      </w:r>
      <w:r w:rsidRPr="0003725E">
        <w:rPr>
          <w:rFonts w:asciiTheme="majorBidi" w:eastAsia="Calibri" w:hAnsiTheme="majorBidi" w:cstheme="majorBidi" w:hint="cs"/>
          <w:rtl/>
        </w:rPr>
        <w:t xml:space="preserve">' מלא. מה פשר שינוי זה? </w:t>
      </w:r>
    </w:p>
    <w:p w:rsidR="0003725E" w:rsidRPr="0003725E" w:rsidRDefault="0003725E" w:rsidP="0003725E">
      <w:pPr>
        <w:jc w:val="both"/>
        <w:rPr>
          <w:rFonts w:asciiTheme="majorBidi" w:eastAsia="Calibri" w:hAnsiTheme="majorBidi" w:cstheme="majorBidi"/>
          <w:rtl/>
        </w:rPr>
      </w:pPr>
      <w:r w:rsidRPr="0003725E">
        <w:rPr>
          <w:rFonts w:asciiTheme="majorBidi" w:eastAsia="Calibri" w:hAnsiTheme="majorBidi" w:cstheme="majorBidi" w:hint="cs"/>
          <w:rtl/>
        </w:rPr>
        <w:t xml:space="preserve">מסביר רש"י: </w:t>
      </w:r>
      <w:r w:rsidRPr="0003725E">
        <w:rPr>
          <w:rFonts w:asciiTheme="majorBidi" w:eastAsia="Calibri" w:hAnsiTheme="majorBidi" w:cstheme="majorBidi" w:hint="cs"/>
          <w:i/>
          <w:iCs/>
          <w:rtl/>
        </w:rPr>
        <w:t>''</w:t>
      </w:r>
      <w:r w:rsidRPr="0003725E">
        <w:rPr>
          <w:rFonts w:asciiTheme="majorBidi" w:eastAsia="Calibri" w:hAnsiTheme="majorBidi" w:hint="cs"/>
          <w:i/>
          <w:iCs/>
          <w:rtl/>
        </w:rPr>
        <w:t>בתהיתהלולאליעזרוהיהמחזרלמצואעילהשיאמרלואברהםלפנותאליולהשיאובתו</w:t>
      </w:r>
      <w:r w:rsidRPr="0003725E">
        <w:rPr>
          <w:rFonts w:asciiTheme="majorBidi" w:eastAsia="Calibri" w:hAnsiTheme="majorBidi" w:cstheme="majorBidi" w:hint="cs"/>
          <w:i/>
          <w:iCs/>
          <w:rtl/>
        </w:rPr>
        <w:t>''</w:t>
      </w:r>
      <w:r w:rsidRPr="0003725E">
        <w:rPr>
          <w:rFonts w:asciiTheme="majorBidi" w:eastAsia="Calibri" w:hAnsiTheme="majorBidi" w:cstheme="majorBidi" w:hint="cs"/>
          <w:rtl/>
        </w:rPr>
        <w:t xml:space="preserve"> דהיינו, אליעזר מציע פיטרון פשוט: אם לא אמצא את האישה המתאימה שמוכנה לבוא אחרי אל הארץ הזאת, הרי שבתי יכולה להינשא ליצחק. והנה לא מוזכר בתורה וגם לא בחז"ל אם יש איזה חיסרון בבת אליעזר, ואדרבה: אם אליעזר, שהוא בעל מדרגה גבוהה, ו</w:t>
      </w:r>
      <w:r w:rsidRPr="0003725E">
        <w:rPr>
          <w:rFonts w:asciiTheme="majorBidi" w:eastAsia="Calibri" w:hAnsiTheme="majorBidi" w:cstheme="majorBidi" w:hint="cs"/>
          <w:i/>
          <w:iCs/>
          <w:rtl/>
        </w:rPr>
        <w:t xml:space="preserve">''מושל בתורת רבו'' </w:t>
      </w:r>
      <w:r w:rsidRPr="0003725E">
        <w:rPr>
          <w:rFonts w:asciiTheme="majorBidi" w:eastAsia="Calibri" w:hAnsiTheme="majorBidi" w:cstheme="majorBidi" w:hint="cs"/>
          <w:rtl/>
        </w:rPr>
        <w:t>ו</w:t>
      </w:r>
      <w:r w:rsidRPr="0003725E">
        <w:rPr>
          <w:rFonts w:asciiTheme="majorBidi" w:eastAsia="Calibri" w:hAnsiTheme="majorBidi" w:cstheme="majorBidi" w:hint="cs"/>
          <w:i/>
          <w:iCs/>
          <w:rtl/>
        </w:rPr>
        <w:t>''דולה ומשקה מתורת רבו לאחרים''</w:t>
      </w:r>
      <w:r w:rsidRPr="0003725E">
        <w:rPr>
          <w:rFonts w:asciiTheme="majorBidi" w:eastAsia="Calibri" w:hAnsiTheme="majorBidi" w:cstheme="majorBidi" w:hint="cs"/>
          <w:rtl/>
        </w:rPr>
        <w:t xml:space="preserve">, מציע הצעה כזאת לאברהם אדונו, הרי שללא ספק בתו אכן ראויה להיות אשת יצחק. אולם אברהם מגיב להצעת עבדו: </w:t>
      </w:r>
      <w:r w:rsidRPr="0003725E">
        <w:rPr>
          <w:rFonts w:asciiTheme="majorBidi" w:eastAsia="Calibri" w:hAnsiTheme="majorBidi" w:cstheme="majorBidi" w:hint="cs"/>
          <w:i/>
          <w:iCs/>
          <w:rtl/>
        </w:rPr>
        <w:t>''</w:t>
      </w:r>
      <w:r w:rsidRPr="0003725E">
        <w:rPr>
          <w:rFonts w:asciiTheme="majorBidi" w:eastAsia="Calibri" w:hAnsiTheme="majorBidi" w:hint="cs"/>
          <w:i/>
          <w:iCs/>
          <w:rtl/>
        </w:rPr>
        <w:t>אמרלואברהם:בניברוךואתהארור</w:t>
      </w:r>
      <w:r w:rsidRPr="0003725E">
        <w:rPr>
          <w:rFonts w:asciiTheme="majorBidi" w:eastAsia="Calibri" w:hAnsiTheme="majorBidi"/>
          <w:i/>
          <w:iCs/>
          <w:rtl/>
        </w:rPr>
        <w:t xml:space="preserve">, </w:t>
      </w:r>
      <w:r w:rsidRPr="0003725E">
        <w:rPr>
          <w:rFonts w:asciiTheme="majorBidi" w:eastAsia="Calibri" w:hAnsiTheme="majorBidi" w:hint="cs"/>
          <w:i/>
          <w:iCs/>
          <w:rtl/>
        </w:rPr>
        <w:t>ואיןארורמידבקבברוך</w:t>
      </w:r>
      <w:r w:rsidRPr="0003725E">
        <w:rPr>
          <w:rFonts w:asciiTheme="majorBidi" w:eastAsia="Calibri" w:hAnsiTheme="majorBidi" w:cstheme="majorBidi" w:hint="cs"/>
          <w:i/>
          <w:iCs/>
          <w:rtl/>
        </w:rPr>
        <w:t xml:space="preserve">'' </w:t>
      </w:r>
      <w:r w:rsidRPr="0003725E">
        <w:rPr>
          <w:rFonts w:asciiTheme="majorBidi" w:eastAsia="Calibri" w:hAnsiTheme="majorBidi" w:cstheme="majorBidi" w:hint="cs"/>
          <w:sz w:val="16"/>
          <w:szCs w:val="16"/>
          <w:rtl/>
        </w:rPr>
        <w:t>(רש"י שם)</w:t>
      </w:r>
      <w:r w:rsidRPr="0003725E">
        <w:rPr>
          <w:rFonts w:asciiTheme="majorBidi" w:eastAsia="Calibri" w:hAnsiTheme="majorBidi" w:cstheme="majorBidi" w:hint="cs"/>
          <w:rtl/>
        </w:rPr>
        <w:t xml:space="preserve"> דהיינו, אליעזר בא מכנען בנו של חם בן נח שנאמר עליו: </w:t>
      </w:r>
      <w:r w:rsidRPr="0003725E">
        <w:rPr>
          <w:rFonts w:ascii="Calibri" w:eastAsia="Calibri" w:hAnsi="Calibri" w:cs="Guttman Stam" w:hint="cs"/>
          <w:sz w:val="22"/>
          <w:szCs w:val="22"/>
          <w:rtl/>
        </w:rPr>
        <w:t>''אָרוּרכְּנָעַןעֶבֶדעֲבָדִיםיִהְיֶהלְאֶחָיו''</w:t>
      </w:r>
      <w:r w:rsidRPr="0003725E">
        <w:rPr>
          <w:rFonts w:asciiTheme="majorBidi" w:eastAsia="Calibri" w:hAnsiTheme="majorBidi" w:cstheme="majorBidi" w:hint="cs"/>
          <w:sz w:val="16"/>
          <w:szCs w:val="16"/>
          <w:rtl/>
        </w:rPr>
        <w:t>(שם ט, כה)</w:t>
      </w:r>
      <w:r w:rsidRPr="0003725E">
        <w:rPr>
          <w:rFonts w:asciiTheme="majorBidi" w:eastAsia="Calibri" w:hAnsiTheme="majorBidi" w:cstheme="majorBidi" w:hint="cs"/>
          <w:rtl/>
        </w:rPr>
        <w:t xml:space="preserve"> ממילא אין שום אפשרות לחבר שני הפכים כאלה, זרעו של אברהם שהוא 'ברוך', עם זרעו של כנען שהוא 'ארור'. ולמרות שחז"ל אמרו שאליעזר יצא מכלל ארור, שכן </w:t>
      </w:r>
      <w:r w:rsidRPr="0003725E">
        <w:rPr>
          <w:rFonts w:eastAsia="Calibri" w:hint="cs"/>
          <w:spacing w:val="-2"/>
          <w:rtl/>
        </w:rPr>
        <w:t xml:space="preserve">אמר לו לבן הארמי: </w:t>
      </w:r>
      <w:r w:rsidRPr="0003725E">
        <w:rPr>
          <w:rFonts w:ascii="Calibri" w:eastAsia="Calibri" w:hAnsi="Calibri" w:cs="Guttman Stam" w:hint="cs"/>
          <w:sz w:val="22"/>
          <w:szCs w:val="22"/>
          <w:rtl/>
        </w:rPr>
        <w:t>"בּוֹאבְּרוּךְה'"</w:t>
      </w:r>
      <w:r w:rsidRPr="0003725E">
        <w:rPr>
          <w:rFonts w:eastAsia="Calibri" w:hint="cs"/>
          <w:spacing w:val="-2"/>
          <w:sz w:val="16"/>
          <w:szCs w:val="16"/>
          <w:rtl/>
        </w:rPr>
        <w:t>(שם לא)</w:t>
      </w:r>
      <w:r w:rsidRPr="0003725E">
        <w:rPr>
          <w:rFonts w:eastAsia="Calibri" w:hint="cs"/>
          <w:spacing w:val="-2"/>
          <w:rtl/>
        </w:rPr>
        <w:t>, בזכות ששימש את אברהם אבינו בנאמנות, אעפ"כ</w:t>
      </w:r>
      <w:r w:rsidRPr="0003725E">
        <w:rPr>
          <w:rFonts w:asciiTheme="majorBidi" w:eastAsia="Calibri" w:hAnsiTheme="majorBidi" w:cstheme="majorBidi" w:hint="cs"/>
          <w:rtl/>
        </w:rPr>
        <w:t xml:space="preserve"> זרעו עדיין בכלל ארור ו</w:t>
      </w:r>
      <w:r w:rsidRPr="0003725E">
        <w:rPr>
          <w:rFonts w:asciiTheme="majorBidi" w:eastAsia="Calibri" w:hAnsiTheme="majorBidi" w:cstheme="majorBidi" w:hint="cs"/>
          <w:i/>
          <w:iCs/>
          <w:rtl/>
        </w:rPr>
        <w:t>''אין ארורמידבק בברוך''</w:t>
      </w:r>
      <w:r w:rsidRPr="0003725E">
        <w:rPr>
          <w:rFonts w:asciiTheme="majorBidi" w:eastAsia="Calibri" w:hAnsiTheme="majorBidi" w:cstheme="majorBidi" w:hint="cs"/>
          <w:rtl/>
        </w:rPr>
        <w:t xml:space="preserve">. </w:t>
      </w:r>
    </w:p>
    <w:p w:rsidR="0003725E" w:rsidRPr="0003725E" w:rsidRDefault="0003725E" w:rsidP="0003725E">
      <w:pPr>
        <w:jc w:val="both"/>
        <w:rPr>
          <w:rFonts w:asciiTheme="majorBidi" w:eastAsia="Calibri" w:hAnsiTheme="majorBidi" w:cstheme="majorBidi"/>
          <w:spacing w:val="-2"/>
          <w:rtl/>
        </w:rPr>
      </w:pPr>
      <w:r w:rsidRPr="0003725E">
        <w:rPr>
          <w:rFonts w:asciiTheme="majorBidi" w:eastAsia="Calibri" w:hAnsiTheme="majorBidi" w:cstheme="majorBidi" w:hint="cs"/>
          <w:rtl/>
        </w:rPr>
        <w:t>מכאן יש ללמוד שלא לזלזל בחומרת האיסורים שנאמר עליהם 'ארור', כגון:</w:t>
      </w:r>
      <w:r w:rsidRPr="0003725E">
        <w:rPr>
          <w:rFonts w:ascii="Calibri" w:eastAsia="Calibri" w:hAnsi="Calibri" w:cs="Guttman Stam" w:hint="cs"/>
          <w:sz w:val="22"/>
          <w:szCs w:val="22"/>
          <w:rtl/>
        </w:rPr>
        <w:t xml:space="preserve"> ''אָרוּרמַקְלֶהאָבִיווְאִמּוֹ''</w:t>
      </w:r>
      <w:r w:rsidRPr="0003725E">
        <w:rPr>
          <w:rFonts w:asciiTheme="majorBidi" w:eastAsia="Calibri" w:hAnsiTheme="majorBidi" w:cstheme="majorBidi" w:hint="cs"/>
          <w:sz w:val="16"/>
          <w:szCs w:val="16"/>
          <w:rtl/>
        </w:rPr>
        <w:t>(דברים כז, טז)</w:t>
      </w:r>
      <w:r w:rsidRPr="0003725E">
        <w:rPr>
          <w:rFonts w:asciiTheme="majorBidi" w:eastAsia="Calibri" w:hAnsiTheme="majorBidi" w:cstheme="majorBidi" w:hint="cs"/>
          <w:rtl/>
        </w:rPr>
        <w:t xml:space="preserve"> או </w:t>
      </w:r>
      <w:r w:rsidRPr="0003725E">
        <w:rPr>
          <w:rFonts w:ascii="Calibri" w:eastAsia="Calibri" w:hAnsi="Calibri" w:cs="Guttman Stam" w:hint="cs"/>
          <w:sz w:val="22"/>
          <w:szCs w:val="22"/>
          <w:rtl/>
        </w:rPr>
        <w:t>''אָרוּרמַכֵּהרֵעֵהוּבַּסָּתֶר''</w:t>
      </w:r>
      <w:r w:rsidRPr="0003725E">
        <w:rPr>
          <w:rFonts w:asciiTheme="majorBidi" w:eastAsia="Calibri" w:hAnsiTheme="majorBidi" w:cstheme="majorBidi" w:hint="cs"/>
          <w:sz w:val="16"/>
          <w:szCs w:val="16"/>
          <w:rtl/>
        </w:rPr>
        <w:t>(שם כד)</w:t>
      </w:r>
      <w:r w:rsidRPr="0003725E">
        <w:rPr>
          <w:rFonts w:asciiTheme="majorBidi" w:eastAsia="Calibri" w:hAnsiTheme="majorBidi" w:cstheme="majorBidi" w:hint="cs"/>
          <w:rtl/>
        </w:rPr>
        <w:t xml:space="preserve"> בטענה שאין עליהם עונש </w:t>
      </w:r>
      <w:r w:rsidRPr="0003725E">
        <w:rPr>
          <w:rFonts w:asciiTheme="majorBidi" w:eastAsia="Calibri" w:hAnsiTheme="majorBidi" w:cstheme="majorBidi" w:hint="cs"/>
          <w:spacing w:val="-2"/>
          <w:rtl/>
        </w:rPr>
        <w:t>מלקות או מיתת בית דין, 'בסך הכל זה רק 'ארור'...', שכן רואים את התוצאות המרחיקות לכת של 'ארור' הנאמר על ידי נח, כל שכן ועל אחת כמה וכמה 'ארור' הכתוב בתורה הנאמר מפי הגבורה.</w:t>
      </w:r>
    </w:p>
    <w:p w:rsidR="0003725E" w:rsidRPr="0003725E" w:rsidRDefault="0003725E" w:rsidP="0003725E">
      <w:pPr>
        <w:jc w:val="both"/>
        <w:rPr>
          <w:rFonts w:asciiTheme="majorBidi" w:eastAsia="Calibri" w:hAnsiTheme="majorBidi" w:cstheme="majorBidi"/>
          <w:rtl/>
        </w:rPr>
      </w:pPr>
      <w:r w:rsidRPr="0003725E">
        <w:rPr>
          <w:rFonts w:asciiTheme="majorBidi" w:eastAsia="Calibri" w:hAnsiTheme="majorBidi" w:cstheme="majorBidi" w:hint="cs"/>
          <w:rtl/>
        </w:rPr>
        <w:t xml:space="preserve">המשנה מתארת את מעמד הברכות והקללות שנאמרו בהר גריזים ובהר עיבל: </w:t>
      </w:r>
      <w:r w:rsidRPr="0003725E">
        <w:rPr>
          <w:rFonts w:asciiTheme="majorBidi" w:eastAsia="Calibri" w:hAnsiTheme="majorBidi" w:cstheme="majorBidi" w:hint="cs"/>
          <w:i/>
          <w:iCs/>
          <w:rtl/>
        </w:rPr>
        <w:t>''</w:t>
      </w:r>
      <w:r w:rsidRPr="0003725E">
        <w:rPr>
          <w:rFonts w:asciiTheme="majorBidi" w:eastAsia="Calibri" w:hAnsiTheme="majorBidi" w:hint="cs"/>
          <w:i/>
          <w:iCs/>
          <w:rtl/>
        </w:rPr>
        <w:t>ששהשבטיםעלוראשהרגריזיםוששהשבטיםעלולראשהרעיבל,והכהניםוהלויםוהארוןעומדיםלמטהבאמצע...הפכופניהםכלפיהרגריזיםופתחובברכה:'ברוךהאישאשרלאיעשהפסלומסכה'ואלוואלועוניןאמן;הפכופניהםכלפיהרעיבלופתחובקללה:</w:t>
      </w:r>
      <w:r w:rsidRPr="0003725E">
        <w:rPr>
          <w:rFonts w:asciiTheme="majorBidi" w:eastAsia="Calibri" w:hAnsiTheme="majorBidi" w:cstheme="majorBidi"/>
          <w:sz w:val="16"/>
          <w:szCs w:val="16"/>
          <w:rtl/>
        </w:rPr>
        <w:t>{</w:t>
      </w:r>
      <w:r w:rsidRPr="0003725E">
        <w:rPr>
          <w:rFonts w:asciiTheme="majorBidi" w:eastAsia="Calibri" w:hAnsiTheme="majorBidi" w:cstheme="majorBidi" w:hint="cs"/>
          <w:sz w:val="16"/>
          <w:szCs w:val="16"/>
          <w:rtl/>
        </w:rPr>
        <w:t>דבריםכז</w:t>
      </w:r>
      <w:r w:rsidRPr="0003725E">
        <w:rPr>
          <w:rFonts w:asciiTheme="majorBidi" w:eastAsia="Calibri" w:hAnsiTheme="majorBidi" w:cstheme="majorBidi"/>
          <w:sz w:val="16"/>
          <w:szCs w:val="16"/>
          <w:rtl/>
        </w:rPr>
        <w:t>-</w:t>
      </w:r>
      <w:r w:rsidRPr="0003725E">
        <w:rPr>
          <w:rFonts w:asciiTheme="majorBidi" w:eastAsia="Calibri" w:hAnsiTheme="majorBidi" w:cstheme="majorBidi" w:hint="cs"/>
          <w:sz w:val="16"/>
          <w:szCs w:val="16"/>
          <w:rtl/>
        </w:rPr>
        <w:t>טו</w:t>
      </w:r>
      <w:r w:rsidRPr="0003725E">
        <w:rPr>
          <w:rFonts w:asciiTheme="majorBidi" w:eastAsia="Calibri" w:hAnsiTheme="majorBidi" w:cstheme="majorBidi"/>
          <w:sz w:val="16"/>
          <w:szCs w:val="16"/>
          <w:rtl/>
        </w:rPr>
        <w:t>}</w:t>
      </w:r>
      <w:r w:rsidRPr="0003725E">
        <w:rPr>
          <w:rFonts w:asciiTheme="majorBidi" w:eastAsia="Calibri" w:hAnsiTheme="majorBidi" w:hint="cs"/>
          <w:i/>
          <w:iCs/>
          <w:rtl/>
        </w:rPr>
        <w:t>'ארורהאישאשריעשהפסלומסכה'ואלוואלועוניןאמןעדשגומריןברכותוקללות</w:t>
      </w:r>
      <w:r w:rsidRPr="0003725E">
        <w:rPr>
          <w:rFonts w:asciiTheme="majorBidi" w:eastAsia="Calibri" w:hAnsiTheme="majorBidi" w:cstheme="majorBidi" w:hint="cs"/>
          <w:i/>
          <w:iCs/>
          <w:rtl/>
        </w:rPr>
        <w:t>''</w:t>
      </w:r>
      <w:r w:rsidRPr="0003725E">
        <w:rPr>
          <w:rFonts w:asciiTheme="majorBidi" w:eastAsia="Calibri" w:hAnsiTheme="majorBidi" w:cstheme="majorBidi" w:hint="cs"/>
          <w:sz w:val="16"/>
          <w:szCs w:val="16"/>
          <w:rtl/>
        </w:rPr>
        <w:t>(סוטה לב.)</w:t>
      </w:r>
      <w:r w:rsidRPr="0003725E">
        <w:rPr>
          <w:rFonts w:asciiTheme="majorBidi" w:eastAsia="Calibri" w:hAnsiTheme="majorBidi" w:cstheme="majorBidi" w:hint="cs"/>
          <w:rtl/>
        </w:rPr>
        <w:t xml:space="preserve"> דהיינו, לפני כל 'ארור' הכתוב בפרשת 'כי תבוא', נאמר אותו עניין בלשון 'ברוך'.</w:t>
      </w:r>
    </w:p>
    <w:p w:rsidR="0003725E" w:rsidRPr="0003725E" w:rsidRDefault="0003725E" w:rsidP="0003725E">
      <w:pPr>
        <w:jc w:val="both"/>
        <w:rPr>
          <w:rFonts w:asciiTheme="majorBidi" w:eastAsia="Calibri" w:hAnsiTheme="majorBidi" w:cstheme="majorBidi"/>
          <w:rtl/>
        </w:rPr>
      </w:pPr>
      <w:r w:rsidRPr="0003725E">
        <w:rPr>
          <w:rFonts w:asciiTheme="majorBidi" w:eastAsia="Calibri" w:hAnsiTheme="majorBidi" w:cstheme="majorBidi" w:hint="cs"/>
          <w:rtl/>
        </w:rPr>
        <w:t xml:space="preserve">שואל מו"ר הרב נבנצל שליט"א: נניח שאדם קיים את כל האמור בפרשת הברכות למעט דבר אחד, מה יהיה מעמדו? לכאורה אי אפשר לאמר שהוא גם 'ברוך' וגם 'ארור' בבת אחת, שכן לפי הכלל שלמדנו 'אין ארור מידבק בברוך' בשני אנשים, כל שכן באדם אחד; אם כן האם הוא 'ארור' או 'ברוך'? </w:t>
      </w:r>
    </w:p>
    <w:p w:rsidR="0003725E" w:rsidRPr="0003725E" w:rsidRDefault="0003725E" w:rsidP="0003725E">
      <w:pPr>
        <w:tabs>
          <w:tab w:val="left" w:pos="5842"/>
        </w:tabs>
        <w:jc w:val="both"/>
        <w:rPr>
          <w:rFonts w:eastAsia="Calibri"/>
          <w:spacing w:val="-2"/>
          <w:rtl/>
        </w:rPr>
      </w:pPr>
      <w:r w:rsidRPr="0003725E">
        <w:rPr>
          <w:rFonts w:eastAsia="Calibri" w:hint="cs"/>
          <w:spacing w:val="-2"/>
          <w:rtl/>
        </w:rPr>
        <w:t xml:space="preserve">לכאורה יש לנו כלל 'מרובה מידה טובה ממידת פורענות' </w:t>
      </w:r>
      <w:r w:rsidRPr="0003725E">
        <w:rPr>
          <w:rFonts w:eastAsia="Calibri" w:hint="cs"/>
          <w:spacing w:val="-2"/>
          <w:sz w:val="16"/>
          <w:szCs w:val="16"/>
          <w:rtl/>
        </w:rPr>
        <w:t>(רש"י שמות כ, ו)</w:t>
      </w:r>
      <w:r w:rsidRPr="0003725E">
        <w:rPr>
          <w:rFonts w:eastAsia="Calibri" w:hint="cs"/>
          <w:spacing w:val="-2"/>
          <w:rtl/>
        </w:rPr>
        <w:t xml:space="preserve"> ועל כן אדם זה אמור להיותבגדר של 'ברוך'.</w:t>
      </w:r>
    </w:p>
    <w:p w:rsidR="0003725E" w:rsidRPr="0003725E" w:rsidRDefault="0003725E" w:rsidP="0003725E">
      <w:pPr>
        <w:tabs>
          <w:tab w:val="left" w:pos="5842"/>
        </w:tabs>
        <w:jc w:val="both"/>
        <w:rPr>
          <w:rFonts w:eastAsia="Calibri"/>
          <w:spacing w:val="-2"/>
          <w:rtl/>
        </w:rPr>
      </w:pPr>
      <w:r w:rsidRPr="0003725E">
        <w:rPr>
          <w:rFonts w:eastAsia="Calibri" w:hint="cs"/>
          <w:spacing w:val="-2"/>
          <w:rtl/>
        </w:rPr>
        <w:t xml:space="preserve">אולם אין הדבר כן, אלא שעל העבירה הוא יקבל את העונש המגיע לו ועל המצוות יקבל את שכרו. ראיה לדבר מסוגיית אישה סוטה. אם האישה המובאת לכהן להשקותה מי המרים, אכן חטאה ובגדה בבעלה עם הבועל, המים יפעלו בה וכתוצאה מכך </w:t>
      </w:r>
      <w:r w:rsidRPr="0003725E">
        <w:rPr>
          <w:rFonts w:ascii="Calibri" w:eastAsia="Calibri" w:hAnsi="Calibri" w:cs="Guttman Stam" w:hint="cs"/>
          <w:sz w:val="22"/>
          <w:szCs w:val="22"/>
          <w:rtl/>
        </w:rPr>
        <w:t>''וְצָבְתָהבִטְנָהּוְנָפְלָהיְרֵכָהּ''</w:t>
      </w:r>
      <w:r w:rsidRPr="0003725E">
        <w:rPr>
          <w:rFonts w:eastAsia="Calibri" w:hint="cs"/>
          <w:spacing w:val="-2"/>
          <w:sz w:val="16"/>
          <w:szCs w:val="16"/>
          <w:rtl/>
        </w:rPr>
        <w:t>(במדבר ה, כז)</w:t>
      </w:r>
      <w:r w:rsidRPr="0003725E">
        <w:rPr>
          <w:rFonts w:eastAsia="Calibri" w:hint="cs"/>
          <w:spacing w:val="-2"/>
          <w:rtl/>
        </w:rPr>
        <w:t xml:space="preserve"> ולבסוף היא מתה. אלא שהגמרא לומדת </w:t>
      </w:r>
      <w:r w:rsidRPr="0003725E">
        <w:rPr>
          <w:rFonts w:eastAsia="Calibri" w:hint="cs"/>
          <w:spacing w:val="-2"/>
          <w:sz w:val="16"/>
          <w:szCs w:val="16"/>
          <w:rtl/>
        </w:rPr>
        <w:t>(סוטה כ.)</w:t>
      </w:r>
      <w:r w:rsidRPr="0003725E">
        <w:rPr>
          <w:rFonts w:eastAsia="Calibri" w:hint="cs"/>
          <w:spacing w:val="-2"/>
          <w:rtl/>
        </w:rPr>
        <w:t xml:space="preserve"> שיש זכות תולה ודוחה את מיתתה עד לטווח של שלוש שנים, אך בשום אופן לא תבטל את עונשה לחלוטין אלא שבסוף היא מתה באותה מיתה. הוא הדין בנידון דידן, האדם אשר יעבור חלילה על אחת האזהרות שהתורה אומרת עליהן 'ארור', גם אם יש לו מצוות רבות שבגינן זכה לגדר של 'ברוך', הרי שאלו לא תועלנה לו להינצל מהעונש המגיע לו בגין ה'ארור'.</w:t>
      </w:r>
    </w:p>
    <w:p w:rsidR="0003725E" w:rsidRPr="0003725E" w:rsidRDefault="0003725E" w:rsidP="0003725E">
      <w:pPr>
        <w:tabs>
          <w:tab w:val="left" w:pos="5842"/>
        </w:tabs>
        <w:jc w:val="both"/>
        <w:rPr>
          <w:rFonts w:asciiTheme="majorBidi" w:eastAsia="Calibri" w:hAnsiTheme="majorBidi" w:cstheme="majorBidi"/>
          <w:rtl/>
        </w:rPr>
      </w:pPr>
      <w:r w:rsidRPr="0003725E">
        <w:rPr>
          <w:rFonts w:eastAsia="Calibri" w:hint="cs"/>
          <w:spacing w:val="-2"/>
          <w:rtl/>
        </w:rPr>
        <w:t xml:space="preserve">נמצא שעל האדם להיזהר מאוד גם מאיסורים הנאמר עליהם 'ארור', ולא לזלזל בהם בטענה ש'בסך הכל זה רק ארור, ולעומת זאת קיימתי מספר רב של מצוות...' שכן לימדונו חז"ל: </w:t>
      </w:r>
      <w:r w:rsidRPr="0003725E">
        <w:rPr>
          <w:rFonts w:eastAsia="Calibri" w:cs="David" w:hint="cs"/>
          <w:i/>
          <w:iCs/>
          <w:spacing w:val="-2"/>
          <w:rtl/>
        </w:rPr>
        <w:t>''שֶׁאֵיןלְפָנָיולֹאעַוְלָהוְלֹאשִׁכְחָהוְלֹאמַשּׂוֹאפָנִיםוְלֹאמִקַּחשׁוֹחַד''</w:t>
      </w:r>
      <w:r w:rsidRPr="0003725E">
        <w:rPr>
          <w:rFonts w:eastAsia="Calibri" w:hint="cs"/>
          <w:spacing w:val="-2"/>
          <w:sz w:val="16"/>
          <w:szCs w:val="16"/>
          <w:rtl/>
        </w:rPr>
        <w:t>(אבות פ"ד מ"כב)</w:t>
      </w:r>
      <w:r w:rsidRPr="0003725E">
        <w:rPr>
          <w:rFonts w:eastAsia="Calibri" w:hint="cs"/>
          <w:i/>
          <w:iCs/>
          <w:spacing w:val="-2"/>
          <w:rtl/>
        </w:rPr>
        <w:t xml:space="preserve">''ואינולוקחשוחדהמצוהבשבילהעבירה,אלאנותןשכרעלהמצוהועונשעלהעבירה'' </w:t>
      </w:r>
      <w:r w:rsidRPr="0003725E">
        <w:rPr>
          <w:rFonts w:eastAsia="Calibri" w:hint="cs"/>
          <w:spacing w:val="-2"/>
          <w:sz w:val="16"/>
          <w:szCs w:val="16"/>
          <w:rtl/>
        </w:rPr>
        <w:t>(ר"ע מברטנורא)</w:t>
      </w:r>
      <w:r w:rsidRPr="0003725E">
        <w:rPr>
          <w:rFonts w:eastAsia="Calibri" w:hint="cs"/>
          <w:spacing w:val="-2"/>
          <w:rtl/>
        </w:rPr>
        <w:t xml:space="preserve"> כלומר, אין קיזוז בין המצוות והעבירות. אם אדם הפקיד בחשבון בנק אלף ש"ח ומשך חמש מאות ש"ח, הרי שמתקזז הסכום ונשארת לו יתרה של חמש מאות ש"ח, אולם אין הדבר כן במצוות ועבירות - הזכות נשארת זכות והחובה גם היא נשארת חובה. מובן אם כן שאפשר להיות </w:t>
      </w:r>
      <w:r w:rsidRPr="0003725E">
        <w:rPr>
          <w:rFonts w:asciiTheme="majorBidi" w:eastAsia="Calibri" w:hAnsiTheme="majorBidi" w:cstheme="majorBidi" w:hint="cs"/>
          <w:i/>
          <w:iCs/>
          <w:rtl/>
        </w:rPr>
        <w:t xml:space="preserve">''מושל בתורת רבו'' </w:t>
      </w:r>
      <w:r w:rsidRPr="0003725E">
        <w:rPr>
          <w:rFonts w:asciiTheme="majorBidi" w:eastAsia="Calibri" w:hAnsiTheme="majorBidi" w:cstheme="majorBidi" w:hint="cs"/>
          <w:rtl/>
        </w:rPr>
        <w:t>ו</w:t>
      </w:r>
      <w:r w:rsidRPr="0003725E">
        <w:rPr>
          <w:rFonts w:asciiTheme="majorBidi" w:eastAsia="Calibri" w:hAnsiTheme="majorBidi" w:cstheme="majorBidi" w:hint="cs"/>
          <w:i/>
          <w:iCs/>
          <w:rtl/>
        </w:rPr>
        <w:t>''דולה ומשקה מתורת רבו לאחרים''</w:t>
      </w:r>
      <w:r w:rsidRPr="0003725E">
        <w:rPr>
          <w:rFonts w:asciiTheme="majorBidi" w:eastAsia="Calibri" w:hAnsiTheme="majorBidi" w:cstheme="majorBidi" w:hint="cs"/>
          <w:rtl/>
        </w:rPr>
        <w:t>, אך בד בבד ה'ארור' הרובץ עליו מכח ייחוסו לכנען נשאר שריר ובריר וקיים.</w:t>
      </w:r>
    </w:p>
    <w:p w:rsidR="0003725E" w:rsidRPr="0003725E" w:rsidRDefault="0003725E" w:rsidP="0003725E">
      <w:pPr>
        <w:tabs>
          <w:tab w:val="left" w:pos="5842"/>
        </w:tabs>
        <w:jc w:val="both"/>
        <w:rPr>
          <w:rFonts w:asciiTheme="majorBidi" w:eastAsia="Calibri" w:hAnsiTheme="majorBidi" w:cstheme="majorBidi"/>
          <w:rtl/>
        </w:rPr>
      </w:pPr>
      <w:r w:rsidRPr="0003725E">
        <w:rPr>
          <w:rFonts w:asciiTheme="majorBidi" w:eastAsia="Calibri" w:hAnsiTheme="majorBidi" w:cstheme="majorBidi" w:hint="cs"/>
          <w:rtl/>
        </w:rPr>
        <w:t xml:space="preserve">כשמתבוננים בסוגיה זו לעומק, האדם עלול ליפול באיזשהו סוג של יאוש בחשבו 'מי מסוגל לעמוד בזה?'. מה אם כן העצה להינצל מה'ארור'? </w:t>
      </w:r>
    </w:p>
    <w:p w:rsidR="0003725E" w:rsidRPr="0003725E" w:rsidRDefault="0003725E" w:rsidP="0003725E">
      <w:pPr>
        <w:tabs>
          <w:tab w:val="left" w:pos="5842"/>
        </w:tabs>
        <w:jc w:val="both"/>
        <w:rPr>
          <w:rFonts w:asciiTheme="majorBidi" w:eastAsia="Calibri" w:hAnsiTheme="majorBidi" w:cstheme="majorBidi"/>
          <w:rtl/>
        </w:rPr>
      </w:pPr>
      <w:r w:rsidRPr="0003725E">
        <w:rPr>
          <w:rFonts w:asciiTheme="majorBidi" w:eastAsia="Calibri" w:hAnsiTheme="majorBidi" w:cstheme="majorBidi" w:hint="cs"/>
          <w:rtl/>
        </w:rPr>
        <w:t xml:space="preserve">אומר הרב: העצה היא להרהר תשובה; כשהאדם חוזר בתשובה על המחדלים שלו שבגינם נכנס לגדר 'ארור', הרי שנמחל לו והוא יוצא מכלל קללה, ולמרות ש'ארור' הנאמר בתורה מפי הקב"ה חמור יותר מ'ארור' הנאמר על ידי בשר ודם, הכלל הוא ש'אין דבר העומד בפני התשובה', ולעניין זה קל יותר לעשות תשובה כלפי הבורא ולתקן את המעוות, </w:t>
      </w:r>
      <w:r w:rsidRPr="0003725E">
        <w:rPr>
          <w:rFonts w:asciiTheme="majorBidi" w:eastAsia="Calibri" w:hAnsiTheme="majorBidi" w:cstheme="majorBidi" w:hint="cs"/>
          <w:rtl/>
        </w:rPr>
        <w:lastRenderedPageBreak/>
        <w:t>מאשר על 'ארור' הנאמר מפי בשר ודם. באותה מידה שעבירות שבין אדם למקום יום הכיפורים מכפר, אבל עבירות שבין אדם לחברו אין יום הכיפורים מכפר עד שירצה את חברו, וזהו למרות שכבוד המקום חמור יותר מכבוד הבריות, כך גם  גבי ה'ארור' - כלפי הקב"ה די בתשובה, מה שאין כן כלפי בשר ודם אין די בתשובה עד שירצה ויפייס את חברו, וכשאין אפשרות לפייסו כמו במקרה של נח שכבר איננו, הרי שאין דרך לבטל את ה'ארור' אף לא על ידי תשובה והכתם נשאר לנצח.</w:t>
      </w:r>
    </w:p>
    <w:p w:rsidR="0003725E" w:rsidRPr="0003725E" w:rsidRDefault="0003725E" w:rsidP="0003725E">
      <w:pPr>
        <w:tabs>
          <w:tab w:val="left" w:pos="5842"/>
        </w:tabs>
        <w:jc w:val="both"/>
        <w:rPr>
          <w:rFonts w:eastAsia="Calibri"/>
          <w:spacing w:val="-2"/>
          <w:rtl/>
        </w:rPr>
      </w:pPr>
      <w:r w:rsidRPr="0003725E">
        <w:rPr>
          <w:rFonts w:asciiTheme="majorBidi" w:eastAsia="Calibri" w:hAnsiTheme="majorBidi" w:cstheme="majorBidi" w:hint="cs"/>
          <w:rtl/>
        </w:rPr>
        <w:t xml:space="preserve">נלמד מכאן להשתדל להיות כל הזמן בכלל 'ברוך' ולהתרחק עד כמה שאפשר מכלל 'ארור', ובפרט מהגדול וחמור מכולם </w:t>
      </w:r>
      <w:r w:rsidRPr="0003725E">
        <w:rPr>
          <w:rFonts w:ascii="Calibri" w:eastAsia="Calibri" w:hAnsi="Calibri" w:cs="Guttman Stam" w:hint="cs"/>
          <w:sz w:val="22"/>
          <w:szCs w:val="22"/>
          <w:rtl/>
        </w:rPr>
        <w:t>''אָרוּראֲשֶׁרלֹאיָקִיםאֶתדִּבְרֵיהַתּוֹרָההַזֹּאתלַעֲשׂוֹתאוֹתָם''</w:t>
      </w:r>
      <w:r w:rsidRPr="0003725E">
        <w:rPr>
          <w:rFonts w:asciiTheme="majorBidi" w:eastAsia="Calibri" w:hAnsiTheme="majorBidi" w:cstheme="majorBidi" w:hint="cs"/>
          <w:sz w:val="16"/>
          <w:szCs w:val="16"/>
          <w:rtl/>
        </w:rPr>
        <w:t>(דברים כז, כו)</w:t>
      </w:r>
      <w:r w:rsidRPr="0003725E">
        <w:rPr>
          <w:rFonts w:asciiTheme="majorBidi" w:eastAsia="Calibri" w:hAnsiTheme="majorBidi" w:cstheme="majorBidi" w:hint="cs"/>
          <w:i/>
          <w:iCs/>
          <w:rtl/>
        </w:rPr>
        <w:t>''</w:t>
      </w:r>
      <w:r w:rsidRPr="0003725E">
        <w:rPr>
          <w:rFonts w:asciiTheme="majorBidi" w:eastAsia="Calibri" w:hAnsiTheme="majorBidi" w:hint="cs"/>
          <w:i/>
          <w:iCs/>
          <w:rtl/>
        </w:rPr>
        <w:t>כאןכללאתכלהתורהכולה</w:t>
      </w:r>
      <w:r w:rsidRPr="0003725E">
        <w:rPr>
          <w:rFonts w:asciiTheme="majorBidi" w:eastAsia="Calibri" w:hAnsiTheme="majorBidi" w:cstheme="majorBidi" w:hint="cs"/>
          <w:i/>
          <w:iCs/>
          <w:rtl/>
        </w:rPr>
        <w:t xml:space="preserve">'' </w:t>
      </w:r>
      <w:r w:rsidRPr="0003725E">
        <w:rPr>
          <w:rFonts w:asciiTheme="majorBidi" w:eastAsia="Calibri" w:hAnsiTheme="majorBidi" w:cstheme="majorBidi" w:hint="cs"/>
          <w:sz w:val="16"/>
          <w:szCs w:val="16"/>
          <w:rtl/>
        </w:rPr>
        <w:t>(רש"י)</w:t>
      </w:r>
      <w:r w:rsidRPr="0003725E">
        <w:rPr>
          <w:rFonts w:asciiTheme="majorBidi" w:eastAsia="Calibri" w:hAnsiTheme="majorBidi" w:cstheme="majorBidi" w:hint="cs"/>
          <w:rtl/>
        </w:rPr>
        <w:t xml:space="preserve"> וכוונת הדברים היא שגם מי שלומד ומקיים את התורה כתיקונה, אם יכול לעזור לאחרים לקיימה ואינו עושה כן הריהו בכלל 'אשר לא יקים את דברי התורה הזאת', ומי שאכן עושה כן - מרובה מידה טובה פי חמש מאות.  </w:t>
      </w:r>
    </w:p>
    <w:p w:rsidR="0003725E" w:rsidRPr="0003725E" w:rsidRDefault="0003725E" w:rsidP="0003725E">
      <w:pPr>
        <w:jc w:val="both"/>
        <w:rPr>
          <w:rFonts w:asciiTheme="majorBidi" w:eastAsia="Calibri" w:hAnsiTheme="majorBidi" w:cstheme="majorBidi"/>
          <w:rtl/>
        </w:rPr>
      </w:pPr>
      <w:bookmarkStart w:id="0" w:name="_GoBack"/>
      <w:bookmarkEnd w:id="0"/>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AF1512" w:rsidRDefault="00422A7C" w:rsidP="006C5DE4">
      <w:pPr>
        <w:tabs>
          <w:tab w:val="left" w:pos="5842"/>
        </w:tabs>
        <w:jc w:val="center"/>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Pr="00AF1512">
        <w:rPr>
          <w:b/>
          <w:bCs/>
          <w:sz w:val="20"/>
          <w:szCs w:val="20"/>
          <w:rtl/>
        </w:rPr>
        <w:t xml:space="preserve">שרה בת רוחמה, </w:t>
      </w:r>
      <w:r w:rsidR="00072C97" w:rsidRPr="00AF1512">
        <w:rPr>
          <w:b/>
          <w:bCs/>
          <w:sz w:val="20"/>
          <w:szCs w:val="20"/>
          <w:rtl/>
        </w:rPr>
        <w:t xml:space="preserve">שרה בת שולמית, </w:t>
      </w:r>
      <w:r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Pr="00AF1512">
        <w:rPr>
          <w:b/>
          <w:bCs/>
          <w:sz w:val="20"/>
          <w:szCs w:val="20"/>
          <w:rtl/>
        </w:rPr>
        <w:t xml:space="preserve">שרה בת קיז'הת.נ.צ.ב.ה.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Stam">
    <w:altName w:val="Courier New"/>
    <w:charset w:val="B1"/>
    <w:family w:val="auto"/>
    <w:pitch w:val="variable"/>
    <w:sig w:usb0="00000800"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80"/>
    <w:rsid w:val="000478F4"/>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48AB"/>
    <w:rsid w:val="003E6CC3"/>
    <w:rsid w:val="003F1218"/>
    <w:rsid w:val="003F131C"/>
    <w:rsid w:val="003F1E4B"/>
    <w:rsid w:val="003F3836"/>
    <w:rsid w:val="004037E7"/>
    <w:rsid w:val="00403BAC"/>
    <w:rsid w:val="00416606"/>
    <w:rsid w:val="00420083"/>
    <w:rsid w:val="0042072A"/>
    <w:rsid w:val="00421C2C"/>
    <w:rsid w:val="00422A7C"/>
    <w:rsid w:val="00423CC2"/>
    <w:rsid w:val="00427DD2"/>
    <w:rsid w:val="004306E9"/>
    <w:rsid w:val="004320AA"/>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3B47"/>
    <w:rsid w:val="00507BB7"/>
    <w:rsid w:val="00516D12"/>
    <w:rsid w:val="00517435"/>
    <w:rsid w:val="00534808"/>
    <w:rsid w:val="00534C80"/>
    <w:rsid w:val="00540438"/>
    <w:rsid w:val="005425CE"/>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B5DFE"/>
    <w:rsid w:val="005C15DB"/>
    <w:rsid w:val="005C75CB"/>
    <w:rsid w:val="005D3796"/>
    <w:rsid w:val="005D5080"/>
    <w:rsid w:val="005E0B85"/>
    <w:rsid w:val="005E79C9"/>
    <w:rsid w:val="005E7DF1"/>
    <w:rsid w:val="005F029B"/>
    <w:rsid w:val="005F298A"/>
    <w:rsid w:val="005F2E1C"/>
    <w:rsid w:val="005F7A55"/>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309F"/>
    <w:rsid w:val="006562D8"/>
    <w:rsid w:val="006576DE"/>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D190E"/>
    <w:rsid w:val="009D2C8B"/>
    <w:rsid w:val="009E0873"/>
    <w:rsid w:val="009E4413"/>
    <w:rsid w:val="00A11C3B"/>
    <w:rsid w:val="00A13DD0"/>
    <w:rsid w:val="00A26889"/>
    <w:rsid w:val="00A473F5"/>
    <w:rsid w:val="00A50E5B"/>
    <w:rsid w:val="00A52443"/>
    <w:rsid w:val="00A536BD"/>
    <w:rsid w:val="00A56E25"/>
    <w:rsid w:val="00A600D9"/>
    <w:rsid w:val="00A6089C"/>
    <w:rsid w:val="00A611A4"/>
    <w:rsid w:val="00A75257"/>
    <w:rsid w:val="00A8154F"/>
    <w:rsid w:val="00A82BF4"/>
    <w:rsid w:val="00A86118"/>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33A4"/>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234B3"/>
    <w:rsid w:val="00F32A0A"/>
    <w:rsid w:val="00F347CD"/>
    <w:rsid w:val="00F351CA"/>
    <w:rsid w:val="00F35AD4"/>
    <w:rsid w:val="00F360F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11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6420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2015-11-03T18:02:00Z</dcterms:created>
  <dcterms:modified xsi:type="dcterms:W3CDTF">2015-11-03T18:02:00Z</dcterms:modified>
</cp:coreProperties>
</file>