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2F" w:rsidRPr="003F412F" w:rsidRDefault="003F412F" w:rsidP="003F412F">
      <w:pPr>
        <w:shd w:val="clear" w:color="auto" w:fill="FFFFFF"/>
        <w:jc w:val="center"/>
        <w:rPr>
          <w:rFonts w:ascii="Arial" w:eastAsia="Times New Roman" w:hAnsi="Arial" w:cs="Arial"/>
          <w:color w:val="222222"/>
          <w:sz w:val="19"/>
          <w:szCs w:val="19"/>
          <w:lang w:bidi="ar-SA"/>
        </w:rPr>
      </w:pPr>
      <w:r w:rsidRPr="003F412F">
        <w:rPr>
          <w:rFonts w:ascii="Bradley Hand ITC" w:eastAsia="Times New Roman" w:hAnsi="Bradley Hand ITC" w:cs="Arial"/>
          <w:b/>
          <w:bCs/>
          <w:color w:val="222222"/>
          <w:sz w:val="52"/>
          <w:szCs w:val="52"/>
          <w:shd w:val="clear" w:color="auto" w:fill="FFFFFF"/>
          <w:lang w:bidi="ar-SA"/>
        </w:rPr>
        <w:t>Miller’s Musings</w:t>
      </w:r>
      <w:r w:rsidRPr="003F412F">
        <w:rPr>
          <w:rFonts w:ascii="Bradley Hand ITC" w:eastAsia="Times New Roman" w:hAnsi="Bradley Hand ITC" w:cs="Arial"/>
          <w:color w:val="222222"/>
          <w:sz w:val="52"/>
          <w:lang w:bidi="ar-SA"/>
        </w:rPr>
        <w:t> </w:t>
      </w:r>
      <w:r w:rsidRPr="003F412F">
        <w:rPr>
          <w:rFonts w:ascii="Arial" w:eastAsia="Times New Roman" w:hAnsi="Arial" w:cs="Arial"/>
          <w:b/>
          <w:bCs/>
          <w:color w:val="222222"/>
          <w:sz w:val="52"/>
          <w:szCs w:val="52"/>
          <w:shd w:val="clear" w:color="auto" w:fill="FFFFFF"/>
          <w:rtl/>
        </w:rPr>
        <w:t>פרשת</w:t>
      </w:r>
      <w:r w:rsidRPr="003F412F">
        <w:rPr>
          <w:rFonts w:ascii="Arial" w:eastAsia="Times New Roman" w:hAnsi="Arial" w:cs="Arial"/>
          <w:b/>
          <w:bCs/>
          <w:color w:val="000000"/>
          <w:szCs w:val="40"/>
          <w:rtl/>
        </w:rPr>
        <w:t> </w:t>
      </w:r>
      <w:r w:rsidRPr="003F412F">
        <w:rPr>
          <w:rFonts w:ascii="Arial" w:eastAsia="Times New Roman" w:hAnsi="Arial" w:cs="Arial"/>
          <w:b/>
          <w:bCs/>
          <w:color w:val="000000"/>
          <w:sz w:val="56"/>
          <w:szCs w:val="56"/>
          <w:shd w:val="clear" w:color="auto" w:fill="F9F9F9"/>
          <w:rtl/>
        </w:rPr>
        <w:t>תְּצַוֶּה</w:t>
      </w:r>
    </w:p>
    <w:p w:rsidR="003F412F" w:rsidRPr="003F412F" w:rsidRDefault="003F412F" w:rsidP="003F412F">
      <w:pPr>
        <w:shd w:val="clear" w:color="auto" w:fill="FFFFFF"/>
        <w:jc w:val="center"/>
        <w:rPr>
          <w:rFonts w:ascii="Arial" w:eastAsia="Times New Roman" w:hAnsi="Arial" w:cs="Arial"/>
          <w:color w:val="222222"/>
          <w:sz w:val="19"/>
          <w:szCs w:val="19"/>
          <w:lang w:bidi="ar-SA"/>
        </w:rPr>
      </w:pPr>
      <w:r w:rsidRPr="003F412F">
        <w:rPr>
          <w:rFonts w:ascii="Bradley Hand ITC" w:eastAsia="Times New Roman" w:hAnsi="Bradley Hand ITC" w:cs="Arial"/>
          <w:color w:val="000000"/>
          <w:lang w:bidi="ar-SA"/>
        </w:rPr>
        <w:t> </w:t>
      </w:r>
    </w:p>
    <w:p w:rsidR="003F412F" w:rsidRPr="003F412F" w:rsidRDefault="003F412F" w:rsidP="003F412F">
      <w:pPr>
        <w:shd w:val="clear" w:color="auto" w:fill="FFFFFF"/>
        <w:rPr>
          <w:rFonts w:ascii="Arial" w:eastAsia="Times New Roman" w:hAnsi="Arial" w:cs="Arial"/>
          <w:color w:val="222222"/>
          <w:sz w:val="19"/>
          <w:szCs w:val="19"/>
          <w:lang w:bidi="ar-SA"/>
        </w:rPr>
      </w:pPr>
      <w:proofErr w:type="gramStart"/>
      <w:r w:rsidRPr="003F412F">
        <w:rPr>
          <w:rFonts w:ascii="Arial" w:eastAsia="Times New Roman" w:hAnsi="Arial" w:cs="Arial"/>
          <w:color w:val="000000"/>
          <w:sz w:val="30"/>
          <w:szCs w:val="30"/>
          <w:lang w:bidi="ar-SA"/>
        </w:rPr>
        <w:t>The Menorah.</w:t>
      </w:r>
      <w:proofErr w:type="gramEnd"/>
      <w:r w:rsidRPr="003F412F">
        <w:rPr>
          <w:rFonts w:ascii="Arial" w:eastAsia="Times New Roman" w:hAnsi="Arial" w:cs="Arial"/>
          <w:color w:val="000000"/>
          <w:sz w:val="30"/>
          <w:szCs w:val="30"/>
          <w:lang w:bidi="ar-SA"/>
        </w:rPr>
        <w:t xml:space="preserve"> Symbol of Judaism throughout the generations, fuelled in the </w:t>
      </w:r>
      <w:proofErr w:type="spellStart"/>
      <w:r w:rsidRPr="003F412F">
        <w:rPr>
          <w:rFonts w:ascii="Arial" w:eastAsia="Times New Roman" w:hAnsi="Arial" w:cs="Arial"/>
          <w:color w:val="000000"/>
          <w:sz w:val="30"/>
          <w:szCs w:val="30"/>
          <w:lang w:bidi="ar-SA"/>
        </w:rPr>
        <w:t>Mishkan</w:t>
      </w:r>
      <w:proofErr w:type="spellEnd"/>
      <w:r w:rsidRPr="003F412F">
        <w:rPr>
          <w:rFonts w:ascii="Arial" w:eastAsia="Times New Roman" w:hAnsi="Arial" w:cs="Arial"/>
          <w:color w:val="000000"/>
          <w:sz w:val="30"/>
          <w:szCs w:val="30"/>
          <w:lang w:bidi="ar-SA"/>
        </w:rPr>
        <w:t xml:space="preserve"> by the purest, pressed olive oil, illuminating the world with its radiant spiritual</w:t>
      </w:r>
      <w:r w:rsidRPr="003F412F">
        <w:rPr>
          <w:rFonts w:ascii="Arial" w:eastAsia="Times New Roman" w:hAnsi="Arial" w:cs="Arial"/>
          <w:color w:val="000000"/>
          <w:sz w:val="30"/>
          <w:lang w:bidi="ar-SA"/>
        </w:rPr>
        <w:t> </w:t>
      </w:r>
      <w:r w:rsidRPr="003F412F">
        <w:rPr>
          <w:rFonts w:ascii="Arial" w:eastAsia="Times New Roman" w:hAnsi="Arial" w:cs="Arial"/>
          <w:color w:val="000000"/>
          <w:sz w:val="30"/>
          <w:szCs w:val="30"/>
          <w:lang w:bidi="ar-SA"/>
        </w:rPr>
        <w:t>luminosity. </w:t>
      </w:r>
      <w:r w:rsidRPr="003F412F">
        <w:rPr>
          <w:rFonts w:ascii="Arial" w:eastAsia="Times New Roman" w:hAnsi="Arial" w:cs="Arial"/>
          <w:color w:val="000000"/>
          <w:sz w:val="30"/>
          <w:lang w:bidi="ar-SA"/>
        </w:rPr>
        <w:t> </w:t>
      </w:r>
      <w:r w:rsidRPr="003F412F">
        <w:rPr>
          <w:rFonts w:ascii="Arial" w:eastAsia="Times New Roman" w:hAnsi="Arial" w:cs="Arial"/>
          <w:color w:val="000000"/>
          <w:sz w:val="30"/>
          <w:szCs w:val="30"/>
          <w:lang w:bidi="ar-SA"/>
        </w:rPr>
        <w:t xml:space="preserve">The </w:t>
      </w:r>
      <w:proofErr w:type="spellStart"/>
      <w:r w:rsidRPr="003F412F">
        <w:rPr>
          <w:rFonts w:ascii="Arial" w:eastAsia="Times New Roman" w:hAnsi="Arial" w:cs="Arial"/>
          <w:color w:val="000000"/>
          <w:sz w:val="30"/>
          <w:szCs w:val="30"/>
          <w:lang w:bidi="ar-SA"/>
        </w:rPr>
        <w:t>Medrash</w:t>
      </w:r>
      <w:proofErr w:type="spellEnd"/>
      <w:r w:rsidRPr="003F412F">
        <w:rPr>
          <w:rFonts w:ascii="Arial" w:eastAsia="Times New Roman" w:hAnsi="Arial" w:cs="Arial"/>
          <w:color w:val="000000"/>
          <w:sz w:val="30"/>
          <w:szCs w:val="30"/>
          <w:lang w:bidi="ar-SA"/>
        </w:rPr>
        <w:t xml:space="preserve"> </w:t>
      </w:r>
      <w:proofErr w:type="spellStart"/>
      <w:r w:rsidRPr="003F412F">
        <w:rPr>
          <w:rFonts w:ascii="Arial" w:eastAsia="Times New Roman" w:hAnsi="Arial" w:cs="Arial"/>
          <w:color w:val="000000"/>
          <w:sz w:val="30"/>
          <w:szCs w:val="30"/>
          <w:lang w:bidi="ar-SA"/>
        </w:rPr>
        <w:t>Rabbah</w:t>
      </w:r>
      <w:proofErr w:type="spellEnd"/>
      <w:r w:rsidRPr="003F412F">
        <w:rPr>
          <w:rFonts w:ascii="Arial" w:eastAsia="Times New Roman" w:hAnsi="Arial" w:cs="Arial"/>
          <w:color w:val="000000"/>
          <w:sz w:val="30"/>
          <w:szCs w:val="30"/>
          <w:lang w:bidi="ar-SA"/>
        </w:rPr>
        <w:t xml:space="preserve"> offers an incredible insight into the rationale that G-d gives for instructing the Jewish people to bring said oil, informing Moshe that it needed to be so, not because He required the light (as </w:t>
      </w:r>
      <w:proofErr w:type="spellStart"/>
      <w:r w:rsidRPr="003F412F">
        <w:rPr>
          <w:rFonts w:ascii="Arial" w:eastAsia="Times New Roman" w:hAnsi="Arial" w:cs="Arial"/>
          <w:color w:val="000000"/>
          <w:sz w:val="30"/>
          <w:szCs w:val="30"/>
          <w:lang w:bidi="ar-SA"/>
        </w:rPr>
        <w:t>HHHe</w:t>
      </w:r>
      <w:proofErr w:type="spellEnd"/>
      <w:r w:rsidRPr="003F412F">
        <w:rPr>
          <w:rFonts w:ascii="Arial" w:eastAsia="Times New Roman" w:hAnsi="Arial" w:cs="Arial"/>
          <w:color w:val="000000"/>
          <w:sz w:val="30"/>
          <w:szCs w:val="30"/>
          <w:lang w:bidi="ar-SA"/>
        </w:rPr>
        <w:t xml:space="preserve"> so patently did not) but rather so that they should be able to cast light for Him, just as He does for them. </w:t>
      </w:r>
      <w:r w:rsidRPr="003F412F">
        <w:rPr>
          <w:rFonts w:ascii="Arial" w:eastAsia="Times New Roman" w:hAnsi="Arial" w:cs="Arial"/>
          <w:color w:val="000000"/>
          <w:sz w:val="30"/>
          <w:lang w:bidi="ar-SA"/>
        </w:rPr>
        <w:t> </w:t>
      </w:r>
      <w:r w:rsidRPr="003F412F">
        <w:rPr>
          <w:rFonts w:ascii="Arial" w:eastAsia="Times New Roman" w:hAnsi="Arial" w:cs="Arial"/>
          <w:color w:val="000000"/>
          <w:sz w:val="30"/>
          <w:szCs w:val="30"/>
          <w:lang w:bidi="ar-SA"/>
        </w:rPr>
        <w:t> This is a rather curious idea that requires further ‘enlightenment’!    </w:t>
      </w:r>
    </w:p>
    <w:p w:rsidR="003F412F" w:rsidRPr="003F412F" w:rsidRDefault="003F412F" w:rsidP="003F412F">
      <w:pPr>
        <w:shd w:val="clear" w:color="auto" w:fill="FFFFFF"/>
        <w:rPr>
          <w:rFonts w:ascii="Arial" w:eastAsia="Times New Roman" w:hAnsi="Arial" w:cs="Arial"/>
          <w:color w:val="222222"/>
          <w:sz w:val="19"/>
          <w:szCs w:val="19"/>
          <w:lang w:bidi="ar-SA"/>
        </w:rPr>
      </w:pPr>
      <w:r w:rsidRPr="003F412F">
        <w:rPr>
          <w:rFonts w:ascii="Arial" w:eastAsia="Times New Roman" w:hAnsi="Arial" w:cs="Arial"/>
          <w:color w:val="222222"/>
          <w:sz w:val="19"/>
          <w:szCs w:val="19"/>
          <w:lang w:bidi="ar-SA"/>
        </w:rPr>
        <w:t> </w:t>
      </w:r>
    </w:p>
    <w:p w:rsidR="003F412F" w:rsidRPr="003F412F" w:rsidRDefault="003F412F" w:rsidP="003F412F">
      <w:pPr>
        <w:shd w:val="clear" w:color="auto" w:fill="FFFFFF"/>
        <w:rPr>
          <w:rFonts w:ascii="Arial" w:eastAsia="Times New Roman" w:hAnsi="Arial" w:cs="Arial"/>
          <w:color w:val="222222"/>
          <w:sz w:val="19"/>
          <w:szCs w:val="19"/>
          <w:lang w:bidi="ar-SA"/>
        </w:rPr>
      </w:pPr>
      <w:r w:rsidRPr="003F412F">
        <w:rPr>
          <w:rFonts w:ascii="Arial" w:eastAsia="Times New Roman" w:hAnsi="Arial" w:cs="Arial"/>
          <w:color w:val="000000"/>
          <w:sz w:val="30"/>
          <w:szCs w:val="30"/>
          <w:lang w:bidi="ar-SA"/>
        </w:rPr>
        <w:t xml:space="preserve">By means of explanation the </w:t>
      </w:r>
      <w:proofErr w:type="spellStart"/>
      <w:r w:rsidRPr="003F412F">
        <w:rPr>
          <w:rFonts w:ascii="Arial" w:eastAsia="Times New Roman" w:hAnsi="Arial" w:cs="Arial"/>
          <w:color w:val="000000"/>
          <w:sz w:val="30"/>
          <w:szCs w:val="30"/>
          <w:lang w:bidi="ar-SA"/>
        </w:rPr>
        <w:t>Medrash</w:t>
      </w:r>
      <w:proofErr w:type="spellEnd"/>
      <w:r w:rsidRPr="003F412F">
        <w:rPr>
          <w:rFonts w:ascii="Arial" w:eastAsia="Times New Roman" w:hAnsi="Arial" w:cs="Arial"/>
          <w:color w:val="000000"/>
          <w:sz w:val="30"/>
          <w:szCs w:val="30"/>
          <w:lang w:bidi="ar-SA"/>
        </w:rPr>
        <w:t xml:space="preserve"> brings the analogy of a fully sighted person who assists a blind person along their way, and then upon entering the house of their destination, requests from the blind person to ignite a flame to provide light for him. </w:t>
      </w:r>
      <w:r w:rsidRPr="003F412F">
        <w:rPr>
          <w:rFonts w:ascii="Arial" w:eastAsia="Times New Roman" w:hAnsi="Arial" w:cs="Arial"/>
          <w:color w:val="000000"/>
          <w:sz w:val="30"/>
          <w:lang w:bidi="ar-SA"/>
        </w:rPr>
        <w:t> </w:t>
      </w:r>
      <w:r w:rsidRPr="003F412F">
        <w:rPr>
          <w:rFonts w:ascii="Arial" w:eastAsia="Times New Roman" w:hAnsi="Arial" w:cs="Arial"/>
          <w:color w:val="000000"/>
          <w:sz w:val="30"/>
          <w:szCs w:val="30"/>
          <w:lang w:bidi="ar-SA"/>
        </w:rPr>
        <w:t xml:space="preserve">This would not be because he could not perform the act himself, but rather because he wanted the blind person to feel less indebted to him for his assistance up until that point, and be able to repay the </w:t>
      </w:r>
      <w:proofErr w:type="spellStart"/>
      <w:r w:rsidRPr="003F412F">
        <w:rPr>
          <w:rFonts w:ascii="Arial" w:eastAsia="Times New Roman" w:hAnsi="Arial" w:cs="Arial"/>
          <w:color w:val="000000"/>
          <w:sz w:val="30"/>
          <w:szCs w:val="30"/>
          <w:lang w:bidi="ar-SA"/>
        </w:rPr>
        <w:t>favour</w:t>
      </w:r>
      <w:proofErr w:type="spellEnd"/>
      <w:r w:rsidRPr="003F412F">
        <w:rPr>
          <w:rFonts w:ascii="Arial" w:eastAsia="Times New Roman" w:hAnsi="Arial" w:cs="Arial"/>
          <w:color w:val="000000"/>
          <w:sz w:val="30"/>
          <w:szCs w:val="30"/>
          <w:lang w:bidi="ar-SA"/>
        </w:rPr>
        <w:t xml:space="preserve"> in some way. </w:t>
      </w:r>
      <w:r w:rsidRPr="003F412F">
        <w:rPr>
          <w:rFonts w:ascii="Arial" w:eastAsia="Times New Roman" w:hAnsi="Arial" w:cs="Arial"/>
          <w:color w:val="000000"/>
          <w:sz w:val="30"/>
          <w:lang w:bidi="ar-SA"/>
        </w:rPr>
        <w:t> </w:t>
      </w:r>
      <w:r w:rsidRPr="003F412F">
        <w:rPr>
          <w:rFonts w:ascii="Arial" w:eastAsia="Times New Roman" w:hAnsi="Arial" w:cs="Arial"/>
          <w:color w:val="000000"/>
          <w:sz w:val="30"/>
          <w:szCs w:val="30"/>
          <w:lang w:bidi="ar-SA"/>
        </w:rPr>
        <w:t xml:space="preserve">So too </w:t>
      </w:r>
      <w:proofErr w:type="spellStart"/>
      <w:r w:rsidRPr="003F412F">
        <w:rPr>
          <w:rFonts w:ascii="Arial" w:eastAsia="Times New Roman" w:hAnsi="Arial" w:cs="Arial"/>
          <w:color w:val="000000"/>
          <w:sz w:val="30"/>
          <w:szCs w:val="30"/>
          <w:lang w:bidi="ar-SA"/>
        </w:rPr>
        <w:t>Hashem</w:t>
      </w:r>
      <w:proofErr w:type="spellEnd"/>
      <w:r w:rsidRPr="003F412F">
        <w:rPr>
          <w:rFonts w:ascii="Arial" w:eastAsia="Times New Roman" w:hAnsi="Arial" w:cs="Arial"/>
          <w:color w:val="000000"/>
          <w:sz w:val="30"/>
          <w:szCs w:val="30"/>
          <w:lang w:bidi="ar-SA"/>
        </w:rPr>
        <w:t xml:space="preserve"> in His infinite benevolence, wanted in some small part, to make us feel less beholden to Him for the phenomenal gift of light that He has bestowed upon us, by tasking us with the contribution of the Menorah’s oil. </w:t>
      </w:r>
      <w:r w:rsidRPr="003F412F">
        <w:rPr>
          <w:rFonts w:ascii="Arial" w:eastAsia="Times New Roman" w:hAnsi="Arial" w:cs="Arial"/>
          <w:color w:val="000000"/>
          <w:sz w:val="30"/>
          <w:lang w:bidi="ar-SA"/>
        </w:rPr>
        <w:t> </w:t>
      </w:r>
      <w:r w:rsidRPr="003F412F">
        <w:rPr>
          <w:rFonts w:ascii="Arial" w:eastAsia="Times New Roman" w:hAnsi="Arial" w:cs="Arial"/>
          <w:color w:val="000000"/>
          <w:sz w:val="30"/>
          <w:szCs w:val="30"/>
          <w:lang w:bidi="ar-SA"/>
        </w:rPr>
        <w:t>   </w:t>
      </w:r>
    </w:p>
    <w:p w:rsidR="003F412F" w:rsidRPr="003F412F" w:rsidRDefault="003F412F" w:rsidP="003F412F">
      <w:pPr>
        <w:shd w:val="clear" w:color="auto" w:fill="FFFFFF"/>
        <w:rPr>
          <w:rFonts w:ascii="Arial" w:eastAsia="Times New Roman" w:hAnsi="Arial" w:cs="Arial"/>
          <w:color w:val="222222"/>
          <w:sz w:val="19"/>
          <w:szCs w:val="19"/>
          <w:lang w:bidi="ar-SA"/>
        </w:rPr>
      </w:pPr>
      <w:r w:rsidRPr="003F412F">
        <w:rPr>
          <w:rFonts w:ascii="Arial" w:eastAsia="Times New Roman" w:hAnsi="Arial" w:cs="Arial"/>
          <w:color w:val="222222"/>
          <w:sz w:val="19"/>
          <w:szCs w:val="19"/>
          <w:lang w:bidi="ar-SA"/>
        </w:rPr>
        <w:t> </w:t>
      </w:r>
    </w:p>
    <w:p w:rsidR="003F412F" w:rsidRPr="003F412F" w:rsidRDefault="003F412F" w:rsidP="003F412F">
      <w:pPr>
        <w:shd w:val="clear" w:color="auto" w:fill="FFFFFF"/>
        <w:rPr>
          <w:rFonts w:ascii="Arial" w:eastAsia="Times New Roman" w:hAnsi="Arial" w:cs="Arial"/>
          <w:color w:val="222222"/>
          <w:sz w:val="19"/>
          <w:szCs w:val="19"/>
          <w:lang w:bidi="ar-SA"/>
        </w:rPr>
      </w:pPr>
      <w:r w:rsidRPr="003F412F">
        <w:rPr>
          <w:rFonts w:ascii="Arial" w:eastAsia="Times New Roman" w:hAnsi="Arial" w:cs="Arial"/>
          <w:color w:val="000000"/>
          <w:sz w:val="30"/>
          <w:szCs w:val="30"/>
          <w:lang w:bidi="ar-SA"/>
        </w:rPr>
        <w:t xml:space="preserve">This profound idea is expanded upon by </w:t>
      </w:r>
      <w:proofErr w:type="spellStart"/>
      <w:r w:rsidRPr="003F412F">
        <w:rPr>
          <w:rFonts w:ascii="Arial" w:eastAsia="Times New Roman" w:hAnsi="Arial" w:cs="Arial"/>
          <w:color w:val="000000"/>
          <w:sz w:val="30"/>
          <w:szCs w:val="30"/>
          <w:lang w:bidi="ar-SA"/>
        </w:rPr>
        <w:t>Reb</w:t>
      </w:r>
      <w:proofErr w:type="spellEnd"/>
      <w:r w:rsidRPr="003F412F">
        <w:rPr>
          <w:rFonts w:ascii="Arial" w:eastAsia="Times New Roman" w:hAnsi="Arial" w:cs="Arial"/>
          <w:color w:val="000000"/>
          <w:sz w:val="30"/>
          <w:szCs w:val="30"/>
          <w:lang w:bidi="ar-SA"/>
        </w:rPr>
        <w:t xml:space="preserve"> </w:t>
      </w:r>
      <w:proofErr w:type="spellStart"/>
      <w:r w:rsidRPr="003F412F">
        <w:rPr>
          <w:rFonts w:ascii="Arial" w:eastAsia="Times New Roman" w:hAnsi="Arial" w:cs="Arial"/>
          <w:color w:val="000000"/>
          <w:sz w:val="30"/>
          <w:szCs w:val="30"/>
          <w:lang w:bidi="ar-SA"/>
        </w:rPr>
        <w:t>Yerucham</w:t>
      </w:r>
      <w:proofErr w:type="spellEnd"/>
      <w:r w:rsidRPr="003F412F">
        <w:rPr>
          <w:rFonts w:ascii="Arial" w:eastAsia="Times New Roman" w:hAnsi="Arial" w:cs="Arial"/>
          <w:color w:val="000000"/>
          <w:sz w:val="30"/>
          <w:szCs w:val="30"/>
          <w:lang w:bidi="ar-SA"/>
        </w:rPr>
        <w:t xml:space="preserve"> </w:t>
      </w:r>
      <w:proofErr w:type="spellStart"/>
      <w:r w:rsidRPr="003F412F">
        <w:rPr>
          <w:rFonts w:ascii="Arial" w:eastAsia="Times New Roman" w:hAnsi="Arial" w:cs="Arial"/>
          <w:color w:val="000000"/>
          <w:sz w:val="30"/>
          <w:szCs w:val="30"/>
          <w:lang w:bidi="ar-SA"/>
        </w:rPr>
        <w:t>Leibovitz</w:t>
      </w:r>
      <w:proofErr w:type="spellEnd"/>
      <w:r w:rsidRPr="003F412F">
        <w:rPr>
          <w:rFonts w:ascii="Arial" w:eastAsia="Times New Roman" w:hAnsi="Arial" w:cs="Arial"/>
          <w:color w:val="000000"/>
          <w:sz w:val="30"/>
          <w:szCs w:val="30"/>
          <w:lang w:bidi="ar-SA"/>
        </w:rPr>
        <w:t xml:space="preserve"> </w:t>
      </w:r>
      <w:proofErr w:type="spellStart"/>
      <w:r w:rsidRPr="003F412F">
        <w:rPr>
          <w:rFonts w:ascii="Arial" w:eastAsia="Times New Roman" w:hAnsi="Arial" w:cs="Arial"/>
          <w:color w:val="000000"/>
          <w:sz w:val="30"/>
          <w:szCs w:val="30"/>
          <w:lang w:bidi="ar-SA"/>
        </w:rPr>
        <w:t>zt’l</w:t>
      </w:r>
      <w:proofErr w:type="spellEnd"/>
      <w:r w:rsidRPr="003F412F">
        <w:rPr>
          <w:rFonts w:ascii="Arial" w:eastAsia="Times New Roman" w:hAnsi="Arial" w:cs="Arial"/>
          <w:color w:val="000000"/>
          <w:sz w:val="30"/>
          <w:szCs w:val="30"/>
          <w:lang w:bidi="ar-SA"/>
        </w:rPr>
        <w:t xml:space="preserve"> </w:t>
      </w:r>
      <w:proofErr w:type="gramStart"/>
      <w:r w:rsidRPr="003F412F">
        <w:rPr>
          <w:rFonts w:ascii="Arial" w:eastAsia="Times New Roman" w:hAnsi="Arial" w:cs="Arial"/>
          <w:color w:val="000000"/>
          <w:sz w:val="30"/>
          <w:szCs w:val="30"/>
          <w:lang w:bidi="ar-SA"/>
        </w:rPr>
        <w:t>who</w:t>
      </w:r>
      <w:proofErr w:type="gramEnd"/>
      <w:r w:rsidRPr="003F412F">
        <w:rPr>
          <w:rFonts w:ascii="Arial" w:eastAsia="Times New Roman" w:hAnsi="Arial" w:cs="Arial"/>
          <w:color w:val="000000"/>
          <w:sz w:val="30"/>
          <w:szCs w:val="30"/>
          <w:lang w:bidi="ar-SA"/>
        </w:rPr>
        <w:t xml:space="preserve"> highlights the oft encountered tendency for a person to refuse any reciprocation of kindness when one has done a </w:t>
      </w:r>
      <w:proofErr w:type="spellStart"/>
      <w:r w:rsidRPr="003F412F">
        <w:rPr>
          <w:rFonts w:ascii="Arial" w:eastAsia="Times New Roman" w:hAnsi="Arial" w:cs="Arial"/>
          <w:color w:val="000000"/>
          <w:sz w:val="30"/>
          <w:szCs w:val="30"/>
          <w:lang w:bidi="ar-SA"/>
        </w:rPr>
        <w:t>favour</w:t>
      </w:r>
      <w:proofErr w:type="spellEnd"/>
      <w:r w:rsidRPr="003F412F">
        <w:rPr>
          <w:rFonts w:ascii="Arial" w:eastAsia="Times New Roman" w:hAnsi="Arial" w:cs="Arial"/>
          <w:color w:val="000000"/>
          <w:sz w:val="30"/>
          <w:szCs w:val="30"/>
          <w:lang w:bidi="ar-SA"/>
        </w:rPr>
        <w:t xml:space="preserve"> for another.</w:t>
      </w:r>
      <w:r w:rsidRPr="003F412F">
        <w:rPr>
          <w:rFonts w:ascii="Arial" w:eastAsia="Times New Roman" w:hAnsi="Arial" w:cs="Arial"/>
          <w:color w:val="000000"/>
          <w:sz w:val="30"/>
          <w:lang w:bidi="ar-SA"/>
        </w:rPr>
        <w:t> </w:t>
      </w:r>
      <w:r w:rsidRPr="003F412F">
        <w:rPr>
          <w:rFonts w:ascii="Arial" w:eastAsia="Times New Roman" w:hAnsi="Arial" w:cs="Arial"/>
          <w:color w:val="000000"/>
          <w:sz w:val="30"/>
          <w:szCs w:val="30"/>
          <w:lang w:bidi="ar-SA"/>
        </w:rPr>
        <w:t>  At first glance this seems an act of sincere altruism, and in some cases this might indeed be true. </w:t>
      </w:r>
      <w:r w:rsidRPr="003F412F">
        <w:rPr>
          <w:rFonts w:ascii="Arial" w:eastAsia="Times New Roman" w:hAnsi="Arial" w:cs="Arial"/>
          <w:color w:val="000000"/>
          <w:sz w:val="30"/>
          <w:lang w:bidi="ar-SA"/>
        </w:rPr>
        <w:t> </w:t>
      </w:r>
      <w:r w:rsidRPr="003F412F">
        <w:rPr>
          <w:rFonts w:ascii="Arial" w:eastAsia="Times New Roman" w:hAnsi="Arial" w:cs="Arial"/>
          <w:color w:val="000000"/>
          <w:sz w:val="30"/>
          <w:szCs w:val="30"/>
          <w:lang w:bidi="ar-SA"/>
        </w:rPr>
        <w:t>But on many occasions the true motive is to leave oneself in a position of superiority and the other remaining obligated to you. </w:t>
      </w:r>
      <w:r w:rsidRPr="003F412F">
        <w:rPr>
          <w:rFonts w:ascii="Arial" w:eastAsia="Times New Roman" w:hAnsi="Arial" w:cs="Arial"/>
          <w:color w:val="000000"/>
          <w:sz w:val="30"/>
          <w:lang w:bidi="ar-SA"/>
        </w:rPr>
        <w:t> </w:t>
      </w:r>
      <w:r w:rsidRPr="003F412F">
        <w:rPr>
          <w:rFonts w:ascii="Arial" w:eastAsia="Times New Roman" w:hAnsi="Arial" w:cs="Arial"/>
          <w:color w:val="000000"/>
          <w:sz w:val="30"/>
          <w:szCs w:val="30"/>
          <w:lang w:bidi="ar-SA"/>
        </w:rPr>
        <w:t>This may not be a fully conscious decision that one makes, but careful introspection will help you to reveal its veracity. </w:t>
      </w:r>
      <w:r w:rsidRPr="003F412F">
        <w:rPr>
          <w:rFonts w:ascii="Arial" w:eastAsia="Times New Roman" w:hAnsi="Arial" w:cs="Arial"/>
          <w:color w:val="000000"/>
          <w:sz w:val="30"/>
          <w:lang w:bidi="ar-SA"/>
        </w:rPr>
        <w:t> </w:t>
      </w:r>
      <w:r w:rsidRPr="003F412F">
        <w:rPr>
          <w:rFonts w:ascii="Arial" w:eastAsia="Times New Roman" w:hAnsi="Arial" w:cs="Arial"/>
          <w:color w:val="000000"/>
          <w:sz w:val="30"/>
          <w:szCs w:val="30"/>
          <w:lang w:bidi="ar-SA"/>
        </w:rPr>
        <w:t xml:space="preserve">The Torah, in its consummate adherence to understanding the feelings and needs of all, teaches us that contrary to what may seem obvious, the greatest gift that one can give to another is to allow that act of repayment and to let the person you have helped regain their sense of self-worth and equal status to </w:t>
      </w:r>
      <w:r w:rsidRPr="003F412F">
        <w:rPr>
          <w:rFonts w:ascii="Arial" w:eastAsia="Times New Roman" w:hAnsi="Arial" w:cs="Arial"/>
          <w:color w:val="000000"/>
          <w:sz w:val="30"/>
          <w:szCs w:val="30"/>
          <w:lang w:bidi="ar-SA"/>
        </w:rPr>
        <w:lastRenderedPageBreak/>
        <w:t>you. </w:t>
      </w:r>
      <w:r w:rsidRPr="003F412F">
        <w:rPr>
          <w:rFonts w:ascii="Arial" w:eastAsia="Times New Roman" w:hAnsi="Arial" w:cs="Arial"/>
          <w:color w:val="000000"/>
          <w:sz w:val="30"/>
          <w:lang w:bidi="ar-SA"/>
        </w:rPr>
        <w:t> </w:t>
      </w:r>
      <w:r w:rsidRPr="003F412F">
        <w:rPr>
          <w:rFonts w:ascii="Arial" w:eastAsia="Times New Roman" w:hAnsi="Arial" w:cs="Arial"/>
          <w:color w:val="000000"/>
          <w:sz w:val="30"/>
          <w:szCs w:val="30"/>
          <w:lang w:bidi="ar-SA"/>
        </w:rPr>
        <w:t>G-d clearly did not require that light and perhaps we sincerely need no payment in kind for the good we have done. But if we are truly people who desire the best for others, the greatest feat of giving we can carry out may be to open our hands and take.   </w:t>
      </w:r>
    </w:p>
    <w:p w:rsidR="003F412F" w:rsidRPr="003F412F" w:rsidRDefault="003F412F" w:rsidP="003F412F">
      <w:pPr>
        <w:shd w:val="clear" w:color="auto" w:fill="FFFFFF"/>
        <w:rPr>
          <w:rFonts w:ascii="Arial" w:eastAsia="Times New Roman" w:hAnsi="Arial" w:cs="Arial"/>
          <w:color w:val="222222"/>
          <w:sz w:val="19"/>
          <w:szCs w:val="19"/>
          <w:lang w:bidi="ar-SA"/>
        </w:rPr>
      </w:pPr>
      <w:r w:rsidRPr="003F412F">
        <w:rPr>
          <w:rFonts w:ascii="Arial" w:eastAsia="Times New Roman" w:hAnsi="Arial" w:cs="Arial"/>
          <w:color w:val="222222"/>
          <w:sz w:val="19"/>
          <w:szCs w:val="19"/>
          <w:lang w:bidi="ar-SA"/>
        </w:rPr>
        <w:t> </w:t>
      </w:r>
    </w:p>
    <w:p w:rsidR="003F412F" w:rsidRPr="003F412F" w:rsidRDefault="003F412F" w:rsidP="003F412F">
      <w:pPr>
        <w:shd w:val="clear" w:color="auto" w:fill="FFFFFF"/>
        <w:rPr>
          <w:rFonts w:ascii="Arial" w:eastAsia="Times New Roman" w:hAnsi="Arial" w:cs="Arial"/>
          <w:color w:val="222222"/>
          <w:sz w:val="19"/>
          <w:szCs w:val="19"/>
          <w:lang w:bidi="ar-SA"/>
        </w:rPr>
      </w:pPr>
      <w:r w:rsidRPr="003F412F">
        <w:rPr>
          <w:rFonts w:ascii="Arial" w:eastAsia="Times New Roman" w:hAnsi="Arial" w:cs="Arial"/>
          <w:color w:val="000000"/>
          <w:sz w:val="30"/>
          <w:szCs w:val="30"/>
          <w:lang w:bidi="ar-SA"/>
        </w:rPr>
        <w:t xml:space="preserve">May we give to </w:t>
      </w:r>
      <w:proofErr w:type="spellStart"/>
      <w:r w:rsidRPr="003F412F">
        <w:rPr>
          <w:rFonts w:ascii="Arial" w:eastAsia="Times New Roman" w:hAnsi="Arial" w:cs="Arial"/>
          <w:color w:val="000000"/>
          <w:sz w:val="30"/>
          <w:szCs w:val="30"/>
          <w:lang w:bidi="ar-SA"/>
        </w:rPr>
        <w:t>Shabbos</w:t>
      </w:r>
      <w:proofErr w:type="spellEnd"/>
      <w:r w:rsidRPr="003F412F">
        <w:rPr>
          <w:rFonts w:ascii="Arial" w:eastAsia="Times New Roman" w:hAnsi="Arial" w:cs="Arial"/>
          <w:color w:val="000000"/>
          <w:sz w:val="30"/>
          <w:szCs w:val="30"/>
          <w:lang w:bidi="ar-SA"/>
        </w:rPr>
        <w:t xml:space="preserve"> as much as we take from </w:t>
      </w:r>
      <w:proofErr w:type="gramStart"/>
      <w:r w:rsidRPr="003F412F">
        <w:rPr>
          <w:rFonts w:ascii="Arial" w:eastAsia="Times New Roman" w:hAnsi="Arial" w:cs="Arial"/>
          <w:color w:val="000000"/>
          <w:sz w:val="30"/>
          <w:szCs w:val="30"/>
          <w:lang w:bidi="ar-SA"/>
        </w:rPr>
        <w:t>it.</w:t>
      </w:r>
      <w:proofErr w:type="gramEnd"/>
    </w:p>
    <w:p w:rsidR="003F412F" w:rsidRPr="003F412F" w:rsidRDefault="003F412F" w:rsidP="003F412F">
      <w:pPr>
        <w:shd w:val="clear" w:color="auto" w:fill="FFFFFF"/>
        <w:rPr>
          <w:rFonts w:ascii="Arial" w:eastAsia="Times New Roman" w:hAnsi="Arial" w:cs="Arial"/>
          <w:color w:val="222222"/>
          <w:sz w:val="19"/>
          <w:szCs w:val="19"/>
          <w:lang w:bidi="ar-SA"/>
        </w:rPr>
      </w:pPr>
      <w:r w:rsidRPr="003F412F">
        <w:rPr>
          <w:rFonts w:ascii="Tahoma" w:eastAsia="Times New Roman" w:hAnsi="Tahoma" w:cs="Tahoma"/>
          <w:color w:val="000000"/>
          <w:shd w:val="clear" w:color="auto" w:fill="FFFFFF"/>
          <w:lang w:bidi="ar-SA"/>
        </w:rPr>
        <w:t> </w:t>
      </w:r>
    </w:p>
    <w:p w:rsidR="003F412F" w:rsidRPr="003F412F" w:rsidRDefault="003F412F" w:rsidP="003F412F">
      <w:pPr>
        <w:shd w:val="clear" w:color="auto" w:fill="FFFFFF"/>
        <w:jc w:val="center"/>
        <w:rPr>
          <w:rFonts w:ascii="Arial" w:eastAsia="Times New Roman" w:hAnsi="Arial" w:cs="Arial"/>
          <w:color w:val="222222"/>
          <w:sz w:val="19"/>
          <w:szCs w:val="19"/>
          <w:lang w:bidi="ar-SA"/>
        </w:rPr>
      </w:pPr>
      <w:r w:rsidRPr="003F412F">
        <w:rPr>
          <w:rFonts w:ascii="Arial" w:eastAsia="Times New Roman" w:hAnsi="Arial" w:cs="Arial"/>
          <w:color w:val="000000"/>
          <w:rtl/>
        </w:rPr>
        <w:t>לעילוי נשמת לאה בת אברהם</w:t>
      </w:r>
    </w:p>
    <w:p w:rsidR="003F412F" w:rsidRPr="003F412F" w:rsidRDefault="003F412F" w:rsidP="003F412F">
      <w:pPr>
        <w:shd w:val="clear" w:color="auto" w:fill="F1F1F1"/>
        <w:spacing w:line="90" w:lineRule="atLeast"/>
        <w:rPr>
          <w:rFonts w:ascii="Arial" w:eastAsia="Times New Roman" w:hAnsi="Arial" w:cs="Arial"/>
          <w:color w:val="222222"/>
          <w:sz w:val="19"/>
          <w:szCs w:val="19"/>
          <w:lang w:bidi="ar-SA"/>
        </w:rPr>
      </w:pPr>
      <w:r>
        <w:rPr>
          <w:rFonts w:ascii="Arial" w:eastAsia="Times New Roman" w:hAnsi="Arial" w:cs="Arial"/>
          <w:noProof/>
          <w:color w:val="222222"/>
          <w:sz w:val="19"/>
          <w:szCs w:val="19"/>
          <w:lang w:bidi="ar-SA"/>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6F3C" w:rsidRDefault="003F412F"/>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12F"/>
    <w:rsid w:val="00107DD7"/>
    <w:rsid w:val="00190A1C"/>
    <w:rsid w:val="002B7E94"/>
    <w:rsid w:val="00325A0B"/>
    <w:rsid w:val="003F412F"/>
    <w:rsid w:val="004041DF"/>
    <w:rsid w:val="00482ADE"/>
    <w:rsid w:val="005508B8"/>
    <w:rsid w:val="00831DCE"/>
    <w:rsid w:val="00856A80"/>
    <w:rsid w:val="008579DE"/>
    <w:rsid w:val="009C65C9"/>
    <w:rsid w:val="009F1AB4"/>
    <w:rsid w:val="00A656BF"/>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3F412F"/>
  </w:style>
  <w:style w:type="paragraph" w:styleId="BalloonText">
    <w:name w:val="Balloon Text"/>
    <w:basedOn w:val="Normal"/>
    <w:link w:val="BalloonTextChar"/>
    <w:uiPriority w:val="99"/>
    <w:semiHidden/>
    <w:unhideWhenUsed/>
    <w:rsid w:val="003F412F"/>
    <w:rPr>
      <w:rFonts w:ascii="Tahoma" w:hAnsi="Tahoma" w:cs="Tahoma"/>
      <w:sz w:val="16"/>
      <w:szCs w:val="16"/>
    </w:rPr>
  </w:style>
  <w:style w:type="character" w:customStyle="1" w:styleId="BalloonTextChar">
    <w:name w:val="Balloon Text Char"/>
    <w:basedOn w:val="DefaultParagraphFont"/>
    <w:link w:val="BalloonText"/>
    <w:uiPriority w:val="99"/>
    <w:semiHidden/>
    <w:rsid w:val="003F412F"/>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divs>
    <w:div w:id="1889415471">
      <w:bodyDiv w:val="1"/>
      <w:marLeft w:val="0"/>
      <w:marRight w:val="0"/>
      <w:marTop w:val="0"/>
      <w:marBottom w:val="0"/>
      <w:divBdr>
        <w:top w:val="none" w:sz="0" w:space="0" w:color="auto"/>
        <w:left w:val="none" w:sz="0" w:space="0" w:color="auto"/>
        <w:bottom w:val="none" w:sz="0" w:space="0" w:color="auto"/>
        <w:right w:val="none" w:sz="0" w:space="0" w:color="auto"/>
      </w:divBdr>
      <w:divsChild>
        <w:div w:id="598635547">
          <w:marLeft w:val="0"/>
          <w:marRight w:val="0"/>
          <w:marTop w:val="0"/>
          <w:marBottom w:val="0"/>
          <w:divBdr>
            <w:top w:val="none" w:sz="0" w:space="0" w:color="auto"/>
            <w:left w:val="none" w:sz="0" w:space="0" w:color="auto"/>
            <w:bottom w:val="none" w:sz="0" w:space="0" w:color="auto"/>
            <w:right w:val="none" w:sz="0" w:space="0" w:color="auto"/>
          </w:divBdr>
        </w:div>
        <w:div w:id="1235236704">
          <w:marLeft w:val="0"/>
          <w:marRight w:val="0"/>
          <w:marTop w:val="0"/>
          <w:marBottom w:val="0"/>
          <w:divBdr>
            <w:top w:val="none" w:sz="0" w:space="0" w:color="auto"/>
            <w:left w:val="none" w:sz="0" w:space="0" w:color="auto"/>
            <w:bottom w:val="none" w:sz="0" w:space="0" w:color="auto"/>
            <w:right w:val="none" w:sz="0" w:space="0" w:color="auto"/>
          </w:divBdr>
        </w:div>
        <w:div w:id="1844667149">
          <w:marLeft w:val="0"/>
          <w:marRight w:val="0"/>
          <w:marTop w:val="0"/>
          <w:marBottom w:val="0"/>
          <w:divBdr>
            <w:top w:val="none" w:sz="0" w:space="0" w:color="auto"/>
            <w:left w:val="none" w:sz="0" w:space="0" w:color="auto"/>
            <w:bottom w:val="none" w:sz="0" w:space="0" w:color="auto"/>
            <w:right w:val="none" w:sz="0" w:space="0" w:color="auto"/>
          </w:divBdr>
        </w:div>
        <w:div w:id="525876552">
          <w:marLeft w:val="0"/>
          <w:marRight w:val="0"/>
          <w:marTop w:val="0"/>
          <w:marBottom w:val="0"/>
          <w:divBdr>
            <w:top w:val="none" w:sz="0" w:space="0" w:color="auto"/>
            <w:left w:val="none" w:sz="0" w:space="0" w:color="auto"/>
            <w:bottom w:val="none" w:sz="0" w:space="0" w:color="auto"/>
            <w:right w:val="none" w:sz="0" w:space="0" w:color="auto"/>
          </w:divBdr>
        </w:div>
        <w:div w:id="248924224">
          <w:marLeft w:val="0"/>
          <w:marRight w:val="0"/>
          <w:marTop w:val="0"/>
          <w:marBottom w:val="0"/>
          <w:divBdr>
            <w:top w:val="none" w:sz="0" w:space="0" w:color="auto"/>
            <w:left w:val="none" w:sz="0" w:space="0" w:color="auto"/>
            <w:bottom w:val="none" w:sz="0" w:space="0" w:color="auto"/>
            <w:right w:val="none" w:sz="0" w:space="0" w:color="auto"/>
          </w:divBdr>
        </w:div>
        <w:div w:id="1744059429">
          <w:marLeft w:val="0"/>
          <w:marRight w:val="0"/>
          <w:marTop w:val="0"/>
          <w:marBottom w:val="0"/>
          <w:divBdr>
            <w:top w:val="none" w:sz="0" w:space="0" w:color="auto"/>
            <w:left w:val="none" w:sz="0" w:space="0" w:color="auto"/>
            <w:bottom w:val="none" w:sz="0" w:space="0" w:color="auto"/>
            <w:right w:val="none" w:sz="0" w:space="0" w:color="auto"/>
          </w:divBdr>
          <w:divsChild>
            <w:div w:id="15033989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2016-02-19T03:29:00Z</dcterms:created>
  <dcterms:modified xsi:type="dcterms:W3CDTF">2016-02-19T03:30:00Z</dcterms:modified>
</cp:coreProperties>
</file>