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A7" w:rsidRDefault="009724A7" w:rsidP="001A2419">
      <w:pPr>
        <w:pStyle w:val="a"/>
        <w:rPr>
          <w:rtl/>
        </w:rPr>
      </w:pPr>
      <w:bookmarkStart w:id="0" w:name="_GoBack"/>
      <w:bookmarkEnd w:id="0"/>
      <w:r>
        <w:rPr>
          <w:rtl/>
        </w:rPr>
        <w:t xml:space="preserve">הרב </w:t>
      </w:r>
      <w:r>
        <w:rPr>
          <w:rFonts w:hint="cs"/>
          <w:rtl/>
        </w:rPr>
        <w:t xml:space="preserve">אהרן ליכטנשטיין </w:t>
      </w:r>
      <w:r w:rsidR="001A2419">
        <w:rPr>
          <w:rFonts w:hint="cs"/>
          <w:rtl/>
        </w:rPr>
        <w:t>זצ"ל</w:t>
      </w:r>
    </w:p>
    <w:p w:rsidR="009724A7" w:rsidRDefault="009724A7" w:rsidP="009724A7">
      <w:pPr>
        <w:pStyle w:val="a"/>
        <w:rPr>
          <w:rtl/>
        </w:rPr>
      </w:pPr>
      <w:r>
        <w:rPr>
          <w:rtl/>
        </w:rPr>
        <w:t xml:space="preserve">שיחה </w:t>
      </w:r>
      <w:r>
        <w:rPr>
          <w:rFonts w:hint="cs"/>
          <w:rtl/>
        </w:rPr>
        <w:t>לפרשת תצוה</w:t>
      </w:r>
    </w:p>
    <w:p w:rsidR="009724A7" w:rsidRPr="00835E24" w:rsidRDefault="009724A7" w:rsidP="009724A7">
      <w:pPr>
        <w:pStyle w:val="Heading1"/>
        <w:rPr>
          <w:rtl/>
        </w:rPr>
      </w:pPr>
      <w:bookmarkStart w:id="1" w:name="OLE_LINK1"/>
      <w:r>
        <w:rPr>
          <w:rFonts w:hint="cs"/>
          <w:rtl/>
        </w:rPr>
        <w:t>תפקיד הבגדים</w:t>
      </w:r>
      <w:r w:rsidRPr="00835E24">
        <w:rPr>
          <w:rStyle w:val="FootnoteReference"/>
          <w:rFonts w:eastAsiaTheme="majorEastAsia"/>
          <w:rtl/>
        </w:rPr>
        <w:footnoteReference w:customMarkFollows="1" w:id="1"/>
        <w:t>*</w:t>
      </w:r>
    </w:p>
    <w:p w:rsidR="009724A7" w:rsidRDefault="009724A7" w:rsidP="009724A7">
      <w:pPr>
        <w:pStyle w:val="Heading2"/>
      </w:pPr>
      <w:r>
        <w:rPr>
          <w:rFonts w:hint="cs"/>
          <w:rtl/>
        </w:rPr>
        <w:t>בגד מגן</w:t>
      </w:r>
    </w:p>
    <w:p w:rsidR="009724A7" w:rsidRDefault="009724A7" w:rsidP="009724A7">
      <w:pPr>
        <w:rPr>
          <w:rtl/>
        </w:rPr>
      </w:pPr>
      <w:r>
        <w:rPr>
          <w:rFonts w:hint="cs"/>
          <w:rtl/>
        </w:rPr>
        <w:t xml:space="preserve">סופר מפורסם כתב פעם: "הבגדים עושים את האדם -  לאדם. אסור שהם יעשו אותו לקולב". אם נשאל את האדם הממוצע לשאלת ייעודם של הבגדים, מן הסתם התשובה הראשונה שתינתן היא שייעודם להגנה. הבגדים מגנים על האדם בקיץ מפני החמה, ובחורף </w:t>
      </w:r>
      <w:r>
        <w:rPr>
          <w:rtl/>
        </w:rPr>
        <w:t>–</w:t>
      </w:r>
      <w:r>
        <w:rPr>
          <w:rFonts w:hint="cs"/>
          <w:rtl/>
        </w:rPr>
        <w:t xml:space="preserve"> מפני הקרה והצינה. ברמה גבוהה יותר, יאמר הנשאל שהבגדים הם סממן לתרבות ולעידון. כידוע, עולם הביגוד יצר סביבו תרבות שלמה של אופנה, עיצוב וסגנונות. בגדים שונים משדרים אמירות שונות, אשר לעיתים הלובש מודע אליהם, ולעיתים לא.</w:t>
      </w:r>
    </w:p>
    <w:p w:rsidR="009724A7" w:rsidRDefault="009724A7" w:rsidP="009724A7">
      <w:pPr>
        <w:rPr>
          <w:rtl/>
        </w:rPr>
      </w:pPr>
      <w:r>
        <w:rPr>
          <w:rFonts w:hint="cs"/>
          <w:rtl/>
        </w:rPr>
        <w:t>לעומת האמור, התרבות היוונית התהדרה לה דווקא בעירום. לדידם, הגוף האנושי הוא דבר שאין להתבייש בו, אלא דווקא להתפאר בו. הללו באים לידי ביטוי בגימנסיון היווני ובאמנות היוונית, אשר בש</w:t>
      </w:r>
      <w:r w:rsidR="001A2419">
        <w:rPr>
          <w:rFonts w:hint="cs"/>
          <w:rtl/>
        </w:rPr>
        <w:t xml:space="preserve">ניהם התפארו היוונים בגופם, אשר </w:t>
      </w:r>
      <w:r>
        <w:rPr>
          <w:rFonts w:hint="cs"/>
          <w:rtl/>
        </w:rPr>
        <w:t>פארו מודגש דווקא במערומיו. ישאל השואל: ומדוע לא? הלוא כך יצר אותנו הקב"ה! וכי יצר הקב"ה בריות נוספות אשר נועדו להיות מכוסות מעין כל?</w:t>
      </w:r>
    </w:p>
    <w:p w:rsidR="009724A7" w:rsidRDefault="009724A7" w:rsidP="009724A7">
      <w:pPr>
        <w:pStyle w:val="Heading2"/>
        <w:rPr>
          <w:rtl/>
        </w:rPr>
      </w:pPr>
      <w:r>
        <w:rPr>
          <w:rFonts w:hint="cs"/>
          <w:rtl/>
        </w:rPr>
        <w:t>בגד מבדיל</w:t>
      </w:r>
    </w:p>
    <w:p w:rsidR="009724A7" w:rsidRDefault="009724A7" w:rsidP="009724A7">
      <w:pPr>
        <w:rPr>
          <w:rtl/>
        </w:rPr>
      </w:pPr>
      <w:r>
        <w:rPr>
          <w:rFonts w:hint="cs"/>
          <w:rtl/>
        </w:rPr>
        <w:t xml:space="preserve">וודאי שהתשובה לשאלה זו היא שלילית. ואולם שורשה של התשובה נמצא בימי הגן אשר נטע ה' בעדן מקדם. אי אז, לאחר החטא, נפקחו עיניהם של אדם וחווה, ונותרו פקוחות לנצח. אדם וחווה הבינו כי עירומים הם, וכתגובה </w:t>
      </w:r>
      <w:r>
        <w:rPr>
          <w:rtl/>
        </w:rPr>
        <w:t>–</w:t>
      </w:r>
      <w:r>
        <w:rPr>
          <w:rFonts w:hint="cs"/>
          <w:rtl/>
        </w:rPr>
        <w:t xml:space="preserve"> תפרו עלי תאנה, ועשו לעצמם חגורות.</w:t>
      </w:r>
    </w:p>
    <w:p w:rsidR="009724A7" w:rsidRDefault="009724A7" w:rsidP="009724A7">
      <w:pPr>
        <w:rPr>
          <w:rtl/>
        </w:rPr>
      </w:pPr>
      <w:r>
        <w:rPr>
          <w:rFonts w:hint="cs"/>
          <w:rtl/>
        </w:rPr>
        <w:t>בסופה של אותה פרשיה, מתואר שלב נוסף בהיסטוריה של הביגוד:</w:t>
      </w:r>
    </w:p>
    <w:p w:rsidR="009724A7" w:rsidRDefault="001A2419" w:rsidP="001A2419">
      <w:pPr>
        <w:pStyle w:val="Quote"/>
        <w:rPr>
          <w:rtl/>
        </w:rPr>
      </w:pPr>
      <w:r>
        <w:rPr>
          <w:rFonts w:hint="cs"/>
          <w:rtl/>
        </w:rPr>
        <w:t>"</w:t>
      </w:r>
      <w:r w:rsidR="009724A7">
        <w:rPr>
          <w:rtl/>
        </w:rPr>
        <w:t xml:space="preserve">וַיַּעַשׂ </w:t>
      </w:r>
      <w:r w:rsidR="009724A7">
        <w:rPr>
          <w:rFonts w:hint="cs"/>
          <w:rtl/>
        </w:rPr>
        <w:t>ה'</w:t>
      </w:r>
      <w:r w:rsidR="009724A7">
        <w:rPr>
          <w:rtl/>
        </w:rPr>
        <w:t xml:space="preserve"> אֱ</w:t>
      </w:r>
      <w:r w:rsidR="009724A7">
        <w:rPr>
          <w:rFonts w:hint="cs"/>
          <w:rtl/>
        </w:rPr>
        <w:noBreakHyphen/>
      </w:r>
      <w:r w:rsidR="009724A7">
        <w:rPr>
          <w:rtl/>
        </w:rPr>
        <w:t>לֹהִים לְאָדָם וּלְאִשְׁתּוֹ כָּתְנוֹת עוֹר וַיַּלְבִּשֵׁם</w:t>
      </w:r>
      <w:r w:rsidR="009724A7">
        <w:rPr>
          <w:rFonts w:hint="cs"/>
          <w:rtl/>
        </w:rPr>
        <w:t>.</w:t>
      </w:r>
      <w:r>
        <w:rPr>
          <w:rFonts w:hint="cs"/>
          <w:rtl/>
        </w:rPr>
        <w:t>"</w:t>
      </w:r>
      <w:r w:rsidR="009724A7">
        <w:rPr>
          <w:rFonts w:hint="cs"/>
          <w:rtl/>
        </w:rPr>
        <w:t xml:space="preserve"> </w:t>
      </w:r>
    </w:p>
    <w:p w:rsidR="001A2419" w:rsidRDefault="001A2419" w:rsidP="001A2419">
      <w:pPr>
        <w:pStyle w:val="Heading5"/>
        <w:rPr>
          <w:rtl/>
        </w:rPr>
      </w:pPr>
      <w:r>
        <w:rPr>
          <w:rFonts w:hint="cs"/>
          <w:rtl/>
        </w:rPr>
        <w:t>(בראשית ג', כא)</w:t>
      </w:r>
    </w:p>
    <w:p w:rsidR="009724A7" w:rsidRDefault="009724A7" w:rsidP="009724A7">
      <w:pPr>
        <w:rPr>
          <w:rtl/>
        </w:rPr>
      </w:pPr>
      <w:r>
        <w:rPr>
          <w:rFonts w:hint="cs"/>
          <w:rtl/>
        </w:rPr>
        <w:t>מדוע עשה ה' לאדם</w:t>
      </w:r>
      <w:r w:rsidR="001A2419">
        <w:rPr>
          <w:rFonts w:hint="cs"/>
          <w:rtl/>
        </w:rPr>
        <w:t xml:space="preserve"> ולאשתו כתנות עור? מה לא היה מספיק</w:t>
      </w:r>
      <w:r>
        <w:rPr>
          <w:rFonts w:hint="cs"/>
          <w:rtl/>
        </w:rPr>
        <w:t xml:space="preserve"> </w:t>
      </w:r>
      <w:r w:rsidR="001A2419">
        <w:rPr>
          <w:rFonts w:hint="cs"/>
          <w:rtl/>
        </w:rPr>
        <w:t>באותם עלי תאנה, שאדם וחווה עשו</w:t>
      </w:r>
      <w:r>
        <w:rPr>
          <w:rFonts w:hint="cs"/>
          <w:rtl/>
        </w:rPr>
        <w:t xml:space="preserve"> לעצמם?</w:t>
      </w:r>
    </w:p>
    <w:p w:rsidR="009724A7" w:rsidRDefault="009724A7" w:rsidP="009724A7">
      <w:pPr>
        <w:rPr>
          <w:rtl/>
        </w:rPr>
      </w:pPr>
      <w:r>
        <w:rPr>
          <w:rFonts w:hint="cs"/>
          <w:rtl/>
        </w:rPr>
        <w:t>הפער המהותי בין כותנת מעור לעומת עלי תאנה תפורים הוא רמת העיבוד שהבגד עבר. כו</w:t>
      </w:r>
      <w:r w:rsidR="007B0711">
        <w:rPr>
          <w:rFonts w:hint="cs"/>
          <w:rtl/>
        </w:rPr>
        <w:t>תנות עור עוברות עיבוד מתקדם רב</w:t>
      </w:r>
      <w:r>
        <w:rPr>
          <w:rFonts w:hint="cs"/>
          <w:rtl/>
        </w:rPr>
        <w:t xml:space="preserve"> יותר, ובכך </w:t>
      </w:r>
      <w:r>
        <w:rPr>
          <w:rtl/>
        </w:rPr>
        <w:t>–</w:t>
      </w:r>
      <w:r w:rsidR="007B0711">
        <w:rPr>
          <w:rFonts w:hint="cs"/>
          <w:rtl/>
        </w:rPr>
        <w:t xml:space="preserve"> מהוות בגד משמעותי הרבה יותר.</w:t>
      </w:r>
      <w:r>
        <w:rPr>
          <w:rFonts w:hint="cs"/>
          <w:rtl/>
        </w:rPr>
        <w:t xml:space="preserve"> לעומת עלי התאנה, המהווים חלק מהנוף המוכר של גן העדן, הרי שכותנות העור הן חפץ זר ומוזר, פרט חדש ברקע ובמושגים של התקופה.</w:t>
      </w:r>
    </w:p>
    <w:p w:rsidR="009724A7" w:rsidRDefault="009724A7" w:rsidP="009724A7">
      <w:pPr>
        <w:rPr>
          <w:rtl/>
        </w:rPr>
      </w:pPr>
      <w:r>
        <w:rPr>
          <w:rFonts w:hint="cs"/>
          <w:rtl/>
        </w:rPr>
        <w:t>כותנות העור לא נוצרו על ידי האדם, אלא על ידי הקב"ה. בכך מעביר ה' לאדם מסר ברור ביותר: אינך עוד חלק מאותו עולם! היותך יצור נוסף בעולם הטבעי הוא עובדה מן העבר. עתה, כאשר יודע אתה טוב ורע, אתה נמצא במקום אחר. אם כן, כתנות העור מביעות את ניתוקו של האדם מסביבתו.</w:t>
      </w:r>
    </w:p>
    <w:p w:rsidR="009724A7" w:rsidRDefault="009724A7" w:rsidP="007B0711">
      <w:pPr>
        <w:rPr>
          <w:rtl/>
        </w:rPr>
      </w:pPr>
      <w:r>
        <w:rPr>
          <w:rFonts w:hint="cs"/>
          <w:rtl/>
        </w:rPr>
        <w:t>אם דיברנו לעיל על הביגוד בתור הגנה ובתור סממן תרבות, הרי שכאן מתגלה לו פן חשוב ביותר של הביגוד: ההפרדה אשר הוא יוצר בין האדם ל</w:t>
      </w:r>
      <w:r w:rsidR="007B0711">
        <w:rPr>
          <w:rFonts w:hint="cs"/>
          <w:rtl/>
        </w:rPr>
        <w:t xml:space="preserve">בין בעלי החיים </w:t>
      </w:r>
      <w:r w:rsidR="007B0711">
        <w:rPr>
          <w:rtl/>
        </w:rPr>
        <w:t>–</w:t>
      </w:r>
      <w:r w:rsidR="007B0711">
        <w:rPr>
          <w:rFonts w:hint="cs"/>
          <w:rtl/>
        </w:rPr>
        <w:t xml:space="preserve"> </w:t>
      </w:r>
      <w:r>
        <w:rPr>
          <w:rFonts w:hint="cs"/>
          <w:rtl/>
        </w:rPr>
        <w:t>מותר האדם מן הבהמה.</w:t>
      </w:r>
    </w:p>
    <w:p w:rsidR="009724A7" w:rsidRDefault="009724A7" w:rsidP="009724A7">
      <w:pPr>
        <w:pStyle w:val="Heading2"/>
        <w:rPr>
          <w:rtl/>
        </w:rPr>
      </w:pPr>
      <w:r>
        <w:rPr>
          <w:rFonts w:hint="cs"/>
          <w:rtl/>
        </w:rPr>
        <w:t>בגד מגדיר</w:t>
      </w:r>
    </w:p>
    <w:p w:rsidR="009724A7" w:rsidRDefault="009724A7" w:rsidP="009724A7">
      <w:pPr>
        <w:rPr>
          <w:rtl/>
        </w:rPr>
      </w:pPr>
      <w:r>
        <w:rPr>
          <w:rFonts w:hint="cs"/>
          <w:rtl/>
        </w:rPr>
        <w:t>תפקיד חדש לאותם בגדים אנו מוצאים בפרשתנו, פרשת בגדי הכהונה. כפי שהבגדים יוצרים פער בין האדם לבהמה, כך בגדי הכהונה יוצרים פער בין הכהן לבין העם שבשדות. וגם כאן, מדובר בהפרדה חיצונית, אשר באה לבטא את ההפרדה וההבדלה הפנימית. אם נפגוש את הכהן הגדול נדע לזהותו בקלות על פי מראהו, ועל פי צלילי פעמוני הזהב המלווים את כל צעדיו.</w:t>
      </w:r>
    </w:p>
    <w:p w:rsidR="009724A7" w:rsidRDefault="009724A7" w:rsidP="009724A7">
      <w:pPr>
        <w:rPr>
          <w:rtl/>
        </w:rPr>
      </w:pPr>
      <w:r>
        <w:rPr>
          <w:rFonts w:hint="cs"/>
          <w:rtl/>
        </w:rPr>
        <w:t xml:space="preserve">מעבר לכך, בגדי הכהונה מכילים תוכן משל עצמם. הרמב"ן במלחמת ה' על סוכה </w:t>
      </w:r>
      <w:r w:rsidRPr="00D7578E">
        <w:rPr>
          <w:rFonts w:hint="cs"/>
          <w:sz w:val="14"/>
          <w:szCs w:val="16"/>
          <w:rtl/>
        </w:rPr>
        <w:t>(ד ע"ב)</w:t>
      </w:r>
      <w:r>
        <w:rPr>
          <w:rFonts w:hint="cs"/>
          <w:rtl/>
        </w:rPr>
        <w:t xml:space="preserve"> מביא בשם הירושלמי דין מעניין של צורך ב'עשייה לשמה' בבגדי כהונה. הדבר משקף שוב את היותם של בגדי הכהונה משהו מעבר לסממן חיצוני. מדובר במרכיב משמעותי ב</w:t>
      </w:r>
      <w:r w:rsidR="007B0711">
        <w:rPr>
          <w:rFonts w:hint="cs"/>
          <w:rtl/>
        </w:rPr>
        <w:t>יותר: הוא מבדיל את הכהן מסביבתו, מעיד על היותו כהן</w:t>
      </w:r>
      <w:r>
        <w:rPr>
          <w:rFonts w:hint="cs"/>
          <w:rtl/>
        </w:rPr>
        <w:t xml:space="preserve"> ומשפיע על היותו כהן. </w:t>
      </w:r>
    </w:p>
    <w:p w:rsidR="009724A7" w:rsidRDefault="009724A7" w:rsidP="009724A7">
      <w:pPr>
        <w:pStyle w:val="Heading2"/>
        <w:rPr>
          <w:rtl/>
        </w:rPr>
      </w:pPr>
      <w:r>
        <w:rPr>
          <w:rFonts w:hint="cs"/>
          <w:rtl/>
        </w:rPr>
        <w:t>בגד פנימי</w:t>
      </w:r>
    </w:p>
    <w:p w:rsidR="009724A7" w:rsidRDefault="009724A7" w:rsidP="009724A7">
      <w:pPr>
        <w:rPr>
          <w:rtl/>
        </w:rPr>
      </w:pPr>
      <w:r>
        <w:rPr>
          <w:rFonts w:hint="cs"/>
          <w:rtl/>
        </w:rPr>
        <w:t>הרחבנו עד עתה בנוגע לתפקידים שונים של הבגדים, לאורך התפתחותם בתורה. למעשה, ניתן לראות פער זה גם בפונקציה שבגדים שונים ממלאים. כאשר התורה מצווה על המכנסיים, היא כותבת:</w:t>
      </w:r>
    </w:p>
    <w:p w:rsidR="007B0711" w:rsidRDefault="007B0711" w:rsidP="009724A7">
      <w:pPr>
        <w:pStyle w:val="Quote"/>
        <w:rPr>
          <w:rtl/>
        </w:rPr>
      </w:pPr>
      <w:r>
        <w:rPr>
          <w:rFonts w:hint="cs"/>
          <w:rtl/>
        </w:rPr>
        <w:t>"</w:t>
      </w:r>
      <w:r w:rsidR="009724A7">
        <w:rPr>
          <w:rtl/>
        </w:rPr>
        <w:t>וַעֲשֵׂה לָהֶם מִכְנְסֵי בָד לְכַסּוֹת בְּשַׂר עֶרְוָה</w:t>
      </w:r>
      <w:r>
        <w:rPr>
          <w:rFonts w:hint="cs"/>
          <w:rtl/>
        </w:rPr>
        <w:t>"</w:t>
      </w:r>
      <w:r w:rsidR="009724A7">
        <w:rPr>
          <w:rFonts w:hint="cs"/>
          <w:rtl/>
        </w:rPr>
        <w:t>.</w:t>
      </w:r>
    </w:p>
    <w:p w:rsidR="009724A7" w:rsidRDefault="007B0711" w:rsidP="007B0711">
      <w:pPr>
        <w:pStyle w:val="Heading5"/>
        <w:rPr>
          <w:rtl/>
        </w:rPr>
      </w:pPr>
      <w:r>
        <w:rPr>
          <w:rFonts w:hint="cs"/>
          <w:rtl/>
        </w:rPr>
        <w:lastRenderedPageBreak/>
        <w:t>(שמות כ"ח, מב)</w:t>
      </w:r>
      <w:r w:rsidR="009724A7">
        <w:rPr>
          <w:rFonts w:hint="cs"/>
          <w:rtl/>
        </w:rPr>
        <w:t xml:space="preserve"> </w:t>
      </w:r>
    </w:p>
    <w:p w:rsidR="009724A7" w:rsidRDefault="009724A7" w:rsidP="00F95556">
      <w:pPr>
        <w:rPr>
          <w:rtl/>
        </w:rPr>
      </w:pPr>
      <w:r>
        <w:rPr>
          <w:rFonts w:hint="cs"/>
          <w:rtl/>
        </w:rPr>
        <w:t>ניסוח כזה מופיע אך ורק בציווי על המכנסיים. הקורא מתרשם שלמכנסים יש תפקיד בסיסי יותר של כיסוי, בעוד שלשאר הבגדים יש תפקיד רוחני ועילאי יותר. לפי מספר ראשונים, פער זה בא לידי ביטוי גם להלכה. לדעתם, יש חיוב מיתה על הנכנס למקדש ללא מכנסים, בעוד שמי שחסר את שאר הבגדים אינו ראוי לעונש זה.</w:t>
      </w:r>
    </w:p>
    <w:p w:rsidR="009724A7" w:rsidRDefault="009724A7" w:rsidP="009724A7">
      <w:pPr>
        <w:pStyle w:val="Heading2"/>
        <w:rPr>
          <w:rtl/>
        </w:rPr>
      </w:pPr>
      <w:r>
        <w:rPr>
          <w:rFonts w:hint="cs"/>
          <w:rtl/>
        </w:rPr>
        <w:t>בגד מעיד</w:t>
      </w:r>
    </w:p>
    <w:p w:rsidR="009724A7" w:rsidRDefault="009724A7" w:rsidP="009724A7">
      <w:pPr>
        <w:rPr>
          <w:rtl/>
        </w:rPr>
      </w:pPr>
      <w:r>
        <w:rPr>
          <w:rFonts w:hint="cs"/>
          <w:rtl/>
        </w:rPr>
        <w:t xml:space="preserve">אותו סופר שהזכרנו בראש הדברים דיבר על תפקידם של הבגדים ביצירת האדם. אולם, לצד כל זה, המשפט מתאר סכנה גדולה: אסור שהבגד יעשה את האדם לקולב. ההשפעה צריכה להיות אמתית ומשמעותית. הבגד הוא עדות לפנימיות, סימן לה </w:t>
      </w:r>
      <w:r>
        <w:rPr>
          <w:rtl/>
        </w:rPr>
        <w:t>–</w:t>
      </w:r>
      <w:r>
        <w:rPr>
          <w:rFonts w:hint="cs"/>
          <w:rtl/>
        </w:rPr>
        <w:t xml:space="preserve"> ולא סיבה בלבד. לא ניתן לבסס את בניין האישיות, את ההשפעה החוצה </w:t>
      </w:r>
      <w:r>
        <w:rPr>
          <w:rtl/>
        </w:rPr>
        <w:t>–</w:t>
      </w:r>
      <w:r>
        <w:rPr>
          <w:rFonts w:hint="cs"/>
          <w:rtl/>
        </w:rPr>
        <w:t xml:space="preserve"> על בסיס לבוש חיצוני, מראה חיצוני ומעשים חיצוניים. פעולות האדם, מעשיו ותחושותיו צריכים לבוא מעמקי הנפש. </w:t>
      </w:r>
    </w:p>
    <w:p w:rsidR="009724A7" w:rsidRDefault="009724A7" w:rsidP="009724A7">
      <w:pPr>
        <w:jc w:val="center"/>
        <w:rPr>
          <w:rtl/>
        </w:rPr>
      </w:pPr>
      <w:r>
        <w:rPr>
          <w:rFonts w:hint="cs"/>
          <w:rtl/>
        </w:rPr>
        <w:t>~*~</w:t>
      </w:r>
    </w:p>
    <w:p w:rsidR="009724A7" w:rsidRDefault="009724A7" w:rsidP="009724A7">
      <w:pPr>
        <w:rPr>
          <w:rtl/>
        </w:rPr>
      </w:pPr>
      <w:r>
        <w:rPr>
          <w:rFonts w:hint="cs"/>
          <w:rtl/>
        </w:rPr>
        <w:t>פרשתנו, מדברת על בגדי הכהונה. איננו מכירים ציווי דומה על בגדיהם של ישראל, ועל כן ניתן להבין שתפקידם של בגדי ישראל חוזר לתפקיד הבסיסי ביותר של הבגדים, מימי אדם הראשון. אולם, כאן עלינו לזכור פסוק חשוב, אשר שב ומחזיר את כולנו למגרש של פרשתנו:</w:t>
      </w:r>
    </w:p>
    <w:p w:rsidR="00F95556" w:rsidRDefault="00F95556" w:rsidP="009724A7">
      <w:pPr>
        <w:pStyle w:val="Quote"/>
        <w:rPr>
          <w:rtl/>
        </w:rPr>
      </w:pPr>
      <w:r>
        <w:rPr>
          <w:rFonts w:hint="cs"/>
          <w:rtl/>
        </w:rPr>
        <w:t>"</w:t>
      </w:r>
      <w:r w:rsidR="009724A7">
        <w:rPr>
          <w:rtl/>
        </w:rPr>
        <w:t>וְאַתֶּם תִּהְיוּ לִי מַמְלֶכֶת כֹּהֲנִים וְגוֹי קָדוֹשׁ</w:t>
      </w:r>
      <w:r>
        <w:rPr>
          <w:rFonts w:hint="cs"/>
          <w:rtl/>
        </w:rPr>
        <w:t>"</w:t>
      </w:r>
      <w:r w:rsidR="009724A7">
        <w:rPr>
          <w:rFonts w:hint="cs"/>
          <w:rtl/>
        </w:rPr>
        <w:t>.</w:t>
      </w:r>
    </w:p>
    <w:p w:rsidR="009724A7" w:rsidRDefault="00F95556" w:rsidP="00F95556">
      <w:pPr>
        <w:pStyle w:val="Heading5"/>
        <w:rPr>
          <w:sz w:val="14"/>
          <w:szCs w:val="16"/>
          <w:rtl/>
        </w:rPr>
      </w:pPr>
      <w:r>
        <w:rPr>
          <w:rFonts w:hint="cs"/>
          <w:rtl/>
        </w:rPr>
        <w:t>(שמות י"ט, ו)</w:t>
      </w:r>
      <w:r w:rsidR="009724A7">
        <w:rPr>
          <w:rFonts w:hint="cs"/>
          <w:rtl/>
        </w:rPr>
        <w:t xml:space="preserve"> </w:t>
      </w:r>
    </w:p>
    <w:p w:rsidR="00F95556" w:rsidRDefault="00F95556" w:rsidP="009724A7">
      <w:pPr>
        <w:pStyle w:val="Quote"/>
        <w:rPr>
          <w:sz w:val="14"/>
          <w:szCs w:val="16"/>
          <w:rtl/>
        </w:rPr>
      </w:pPr>
    </w:p>
    <w:p w:rsidR="009724A7" w:rsidRDefault="009724A7" w:rsidP="009724A7">
      <w:pPr>
        <w:pStyle w:val="Quote"/>
        <w:rPr>
          <w:rtl/>
        </w:rPr>
      </w:pPr>
    </w:p>
    <w:p w:rsidR="009724A7" w:rsidRPr="00B63CCF" w:rsidRDefault="009724A7" w:rsidP="009724A7">
      <w:pPr>
        <w:autoSpaceDE/>
        <w:autoSpaceDN/>
        <w:spacing w:after="50" w:line="240" w:lineRule="atLeast"/>
        <w:rPr>
          <w:rFonts w:cs="Times New Roman"/>
          <w:sz w:val="22"/>
          <w:rtl/>
        </w:rPr>
      </w:pPr>
    </w:p>
    <w:bookmarkEnd w:id="1"/>
    <w:p w:rsidR="009724A7" w:rsidRDefault="009724A7" w:rsidP="009724A7">
      <w:pPr>
        <w:rPr>
          <w:sz w:val="21"/>
          <w:rtl/>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283"/>
        <w:gridCol w:w="4111"/>
        <w:gridCol w:w="284"/>
      </w:tblGrid>
      <w:tr w:rsidR="00F95556" w:rsidTr="003D7721">
        <w:trPr>
          <w:trHeight w:val="63"/>
        </w:trPr>
        <w:tc>
          <w:tcPr>
            <w:tcW w:w="283" w:type="dxa"/>
            <w:tcBorders>
              <w:top w:val="nil"/>
              <w:left w:val="nil"/>
              <w:bottom w:val="nil"/>
              <w:right w:val="nil"/>
            </w:tcBorders>
          </w:tcPr>
          <w:p w:rsidR="00F95556" w:rsidRDefault="00F95556" w:rsidP="00F95556">
            <w:pPr>
              <w:pStyle w:val="a0"/>
              <w:rPr>
                <w:noProof w:val="0"/>
              </w:rPr>
            </w:pPr>
            <w:r>
              <w:rPr>
                <w:noProof w:val="0"/>
                <w:rtl/>
              </w:rPr>
              <w:t>*</w:t>
            </w:r>
          </w:p>
        </w:tc>
        <w:tc>
          <w:tcPr>
            <w:tcW w:w="4111" w:type="dxa"/>
            <w:tcBorders>
              <w:top w:val="nil"/>
              <w:left w:val="nil"/>
              <w:bottom w:val="nil"/>
              <w:right w:val="nil"/>
            </w:tcBorders>
          </w:tcPr>
          <w:p w:rsidR="00F95556" w:rsidRDefault="00F95556" w:rsidP="00F95556">
            <w:pPr>
              <w:pStyle w:val="a0"/>
              <w:ind w:left="-170" w:right="-170"/>
              <w:rPr>
                <w:noProof w:val="0"/>
              </w:rPr>
            </w:pPr>
            <w:r>
              <w:rPr>
                <w:noProof w:val="0"/>
                <w:rtl/>
              </w:rPr>
              <w:t>***************************************************************</w:t>
            </w:r>
          </w:p>
        </w:tc>
        <w:tc>
          <w:tcPr>
            <w:tcW w:w="284" w:type="dxa"/>
            <w:tcBorders>
              <w:top w:val="nil"/>
              <w:left w:val="nil"/>
              <w:bottom w:val="nil"/>
              <w:right w:val="nil"/>
            </w:tcBorders>
          </w:tcPr>
          <w:p w:rsidR="00F95556" w:rsidRDefault="00F95556" w:rsidP="00F95556">
            <w:pPr>
              <w:pStyle w:val="a0"/>
              <w:rPr>
                <w:noProof w:val="0"/>
              </w:rPr>
            </w:pPr>
            <w:r>
              <w:rPr>
                <w:noProof w:val="0"/>
                <w:rtl/>
              </w:rPr>
              <w:t>*</w:t>
            </w:r>
          </w:p>
        </w:tc>
      </w:tr>
      <w:tr w:rsidR="00F95556" w:rsidTr="00F95556">
        <w:tc>
          <w:tcPr>
            <w:tcW w:w="283" w:type="dxa"/>
            <w:tcBorders>
              <w:top w:val="nil"/>
              <w:left w:val="nil"/>
              <w:bottom w:val="nil"/>
              <w:right w:val="nil"/>
            </w:tcBorders>
          </w:tcPr>
          <w:p w:rsidR="00F95556" w:rsidRDefault="00F95556" w:rsidP="00F95556">
            <w:pPr>
              <w:pStyle w:val="a0"/>
              <w:rPr>
                <w:noProof w:val="0"/>
              </w:rPr>
            </w:pPr>
            <w:r>
              <w:rPr>
                <w:noProof w:val="0"/>
                <w:rtl/>
              </w:rPr>
              <w:t>* * * * * * * * * *</w:t>
            </w:r>
          </w:p>
        </w:tc>
        <w:tc>
          <w:tcPr>
            <w:tcW w:w="4111" w:type="dxa"/>
            <w:tcBorders>
              <w:top w:val="nil"/>
              <w:left w:val="nil"/>
              <w:bottom w:val="nil"/>
              <w:right w:val="nil"/>
            </w:tcBorders>
          </w:tcPr>
          <w:p w:rsidR="003D7721" w:rsidRDefault="00F95556" w:rsidP="00F95556">
            <w:pPr>
              <w:pStyle w:val="a0"/>
              <w:rPr>
                <w:noProof w:val="0"/>
                <w:rtl/>
              </w:rPr>
            </w:pPr>
            <w:r>
              <w:rPr>
                <w:noProof w:val="0"/>
                <w:rtl/>
              </w:rPr>
              <w:t>כל הזכויות שמורות לישיבת הר עציון</w:t>
            </w:r>
            <w:r w:rsidR="003D7721">
              <w:rPr>
                <w:rFonts w:hint="cs"/>
                <w:noProof w:val="0"/>
                <w:rtl/>
              </w:rPr>
              <w:t xml:space="preserve"> ולרב אהרן ליכטנשטיין זצ"ל</w:t>
            </w:r>
          </w:p>
          <w:p w:rsidR="00F95556" w:rsidRPr="00C5614D" w:rsidRDefault="003D7721" w:rsidP="003D7721">
            <w:pPr>
              <w:pStyle w:val="a0"/>
              <w:rPr>
                <w:rFonts w:ascii="Times New Roman" w:hAnsi="Times New Roman" w:cs="Times New Roman"/>
                <w:noProof w:val="0"/>
                <w:rtl/>
              </w:rPr>
            </w:pPr>
            <w:r>
              <w:rPr>
                <w:rFonts w:hint="cs"/>
                <w:noProof w:val="0"/>
                <w:rtl/>
              </w:rPr>
              <w:t>עורך: אלישע אורון, תשע"ז</w:t>
            </w:r>
          </w:p>
          <w:p w:rsidR="00F95556" w:rsidRDefault="00F95556" w:rsidP="00F95556">
            <w:pPr>
              <w:pStyle w:val="a0"/>
              <w:rPr>
                <w:noProof w:val="0"/>
                <w:rtl/>
              </w:rPr>
            </w:pPr>
            <w:r>
              <w:rPr>
                <w:noProof w:val="0"/>
                <w:rtl/>
              </w:rPr>
              <w:t>*******************************************************</w:t>
            </w:r>
          </w:p>
          <w:p w:rsidR="00F95556" w:rsidRDefault="00F95556" w:rsidP="00F95556">
            <w:pPr>
              <w:pStyle w:val="a0"/>
              <w:rPr>
                <w:noProof w:val="0"/>
                <w:rtl/>
              </w:rPr>
            </w:pPr>
          </w:p>
          <w:p w:rsidR="00F95556" w:rsidRDefault="00F95556" w:rsidP="00F95556">
            <w:pPr>
              <w:pStyle w:val="a0"/>
              <w:rPr>
                <w:noProof w:val="0"/>
                <w:rtl/>
              </w:rPr>
            </w:pPr>
            <w:r>
              <w:rPr>
                <w:noProof w:val="0"/>
                <w:rtl/>
              </w:rPr>
              <w:t>בית המדרש הוירטואלי שליד ישיבת הר עציון</w:t>
            </w:r>
          </w:p>
          <w:p w:rsidR="00F95556" w:rsidRDefault="00F95556" w:rsidP="00F95556">
            <w:pPr>
              <w:pStyle w:val="a0"/>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F95556" w:rsidRDefault="00F95556" w:rsidP="00F95556">
            <w:pPr>
              <w:pStyle w:val="a0"/>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F95556" w:rsidRDefault="00F95556" w:rsidP="00F95556">
            <w:pPr>
              <w:pStyle w:val="a0"/>
              <w:rPr>
                <w:noProof w:val="0"/>
                <w:rtl/>
              </w:rPr>
            </w:pPr>
          </w:p>
          <w:p w:rsidR="00F95556" w:rsidRDefault="00F95556" w:rsidP="00F95556">
            <w:pPr>
              <w:pStyle w:val="a0"/>
              <w:rPr>
                <w:noProof w:val="0"/>
                <w:rtl/>
              </w:rPr>
            </w:pPr>
            <w:r>
              <w:rPr>
                <w:noProof w:val="0"/>
                <w:rtl/>
              </w:rPr>
              <w:t xml:space="preserve">משרדי בית המדרש הוירטואלי: 02-9937300 שלוחה 5 </w:t>
            </w:r>
          </w:p>
          <w:p w:rsidR="00F95556" w:rsidRDefault="00F95556" w:rsidP="00F95556">
            <w:pPr>
              <w:pStyle w:val="a0"/>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F95556" w:rsidRDefault="00F95556" w:rsidP="00F95556">
            <w:pPr>
              <w:pStyle w:val="a0"/>
              <w:rPr>
                <w:noProof w:val="0"/>
              </w:rPr>
            </w:pPr>
            <w:r>
              <w:rPr>
                <w:noProof w:val="0"/>
                <w:rtl/>
              </w:rPr>
              <w:t xml:space="preserve">* * * * * * * * * * </w:t>
            </w:r>
          </w:p>
        </w:tc>
      </w:tr>
      <w:tr w:rsidR="00F95556" w:rsidTr="00F95556">
        <w:tc>
          <w:tcPr>
            <w:tcW w:w="283" w:type="dxa"/>
            <w:tcBorders>
              <w:top w:val="nil"/>
              <w:left w:val="nil"/>
              <w:bottom w:val="nil"/>
              <w:right w:val="nil"/>
            </w:tcBorders>
          </w:tcPr>
          <w:p w:rsidR="00F95556" w:rsidRDefault="00F95556" w:rsidP="00F95556">
            <w:pPr>
              <w:pStyle w:val="a0"/>
              <w:rPr>
                <w:noProof w:val="0"/>
              </w:rPr>
            </w:pPr>
            <w:r>
              <w:rPr>
                <w:noProof w:val="0"/>
                <w:rtl/>
              </w:rPr>
              <w:t>*</w:t>
            </w:r>
          </w:p>
        </w:tc>
        <w:tc>
          <w:tcPr>
            <w:tcW w:w="4111" w:type="dxa"/>
            <w:tcBorders>
              <w:top w:val="nil"/>
              <w:left w:val="nil"/>
              <w:bottom w:val="nil"/>
              <w:right w:val="nil"/>
            </w:tcBorders>
          </w:tcPr>
          <w:p w:rsidR="00F95556" w:rsidRDefault="00F95556" w:rsidP="00F95556">
            <w:pPr>
              <w:pStyle w:val="a0"/>
              <w:ind w:left="-227" w:right="-227"/>
              <w:rPr>
                <w:noProof w:val="0"/>
              </w:rPr>
            </w:pPr>
            <w:r>
              <w:rPr>
                <w:noProof w:val="0"/>
                <w:rtl/>
              </w:rPr>
              <w:t>***************************************************************</w:t>
            </w:r>
          </w:p>
        </w:tc>
        <w:tc>
          <w:tcPr>
            <w:tcW w:w="284" w:type="dxa"/>
            <w:tcBorders>
              <w:top w:val="nil"/>
              <w:left w:val="nil"/>
              <w:bottom w:val="nil"/>
              <w:right w:val="nil"/>
            </w:tcBorders>
          </w:tcPr>
          <w:p w:rsidR="00F95556" w:rsidRDefault="00F95556" w:rsidP="00F95556">
            <w:pPr>
              <w:pStyle w:val="a0"/>
              <w:rPr>
                <w:noProof w:val="0"/>
                <w:rtl/>
              </w:rPr>
            </w:pPr>
            <w:r>
              <w:rPr>
                <w:noProof w:val="0"/>
                <w:rtl/>
              </w:rPr>
              <w:t>*</w:t>
            </w:r>
          </w:p>
        </w:tc>
      </w:tr>
    </w:tbl>
    <w:p w:rsidR="003F7890" w:rsidRPr="009724A7" w:rsidRDefault="003F7890" w:rsidP="009724A7"/>
    <w:sectPr w:rsidR="003F7890" w:rsidRPr="009724A7"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6E" w:rsidRDefault="0050406E" w:rsidP="005F7985">
      <w:pPr>
        <w:spacing w:after="0" w:line="240" w:lineRule="auto"/>
      </w:pPr>
      <w:r>
        <w:separator/>
      </w:r>
    </w:p>
  </w:endnote>
  <w:endnote w:type="continuationSeparator" w:id="0">
    <w:p w:rsidR="0050406E" w:rsidRDefault="0050406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6E" w:rsidRDefault="0050406E" w:rsidP="005F7985">
      <w:pPr>
        <w:spacing w:after="0" w:line="240" w:lineRule="auto"/>
      </w:pPr>
      <w:r>
        <w:separator/>
      </w:r>
    </w:p>
  </w:footnote>
  <w:footnote w:type="continuationSeparator" w:id="0">
    <w:p w:rsidR="0050406E" w:rsidRDefault="0050406E" w:rsidP="005F7985">
      <w:pPr>
        <w:spacing w:after="0" w:line="240" w:lineRule="auto"/>
      </w:pPr>
      <w:r>
        <w:continuationSeparator/>
      </w:r>
    </w:p>
  </w:footnote>
  <w:footnote w:id="1">
    <w:p w:rsidR="009724A7" w:rsidRPr="009A0FB2" w:rsidRDefault="009724A7" w:rsidP="009724A7">
      <w:pPr>
        <w:pStyle w:val="FootnoteText"/>
        <w:rPr>
          <w:rtl/>
        </w:rPr>
      </w:pPr>
      <w:r>
        <w:rPr>
          <w:rStyle w:val="FootnoteReference"/>
          <w:rFonts w:eastAsiaTheme="majorEastAsia"/>
          <w:rtl/>
        </w:rPr>
        <w:t>*</w:t>
      </w:r>
      <w:r w:rsidRPr="001C4E63">
        <w:rPr>
          <w:rFonts w:hint="cs"/>
          <w:rtl/>
        </w:rPr>
        <w:t xml:space="preserve"> </w:t>
      </w:r>
      <w:bookmarkStart w:id="2" w:name="_ftn1"/>
      <w:bookmarkEnd w:id="2"/>
      <w:r>
        <w:rPr>
          <w:rFonts w:hint="cs"/>
          <w:rtl/>
        </w:rPr>
        <w:tab/>
        <w:t>ה</w:t>
      </w:r>
      <w:r w:rsidR="001A2419">
        <w:rPr>
          <w:rFonts w:hint="cs"/>
          <w:rtl/>
        </w:rPr>
        <w:t xml:space="preserve">שיחה נאמרה בליל שבת פרשת תצוה, </w:t>
      </w:r>
      <w:r>
        <w:rPr>
          <w:rFonts w:hint="cs"/>
          <w:rtl/>
        </w:rPr>
        <w:t>סוכמה על ידי עמנואל מאייר</w:t>
      </w:r>
      <w:r w:rsidR="001A2419">
        <w:rPr>
          <w:rFonts w:hint="cs"/>
          <w:rtl/>
        </w:rPr>
        <w:t>,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920C1">
      <w:rPr>
        <w:b/>
        <w:bCs/>
        <w:noProof/>
        <w:sz w:val="21"/>
        <w:rtl/>
      </w:rPr>
      <w:t>2</w:t>
    </w:r>
    <w:r>
      <w:rPr>
        <w:b/>
        <w:bCs/>
        <w:sz w:val="21"/>
        <w:rtl/>
      </w:rPr>
      <w:fldChar w:fldCharType="end"/>
    </w:r>
    <w:r>
      <w:rPr>
        <w:b/>
        <w:bCs/>
        <w:sz w:val="21"/>
        <w:rtl/>
      </w:rPr>
      <w:t xml:space="preserve"> -</w:t>
    </w:r>
  </w:p>
  <w:p w:rsidR="00C05872" w:rsidRDefault="005040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50406E">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17B74"/>
    <w:rsid w:val="001502DB"/>
    <w:rsid w:val="001A2419"/>
    <w:rsid w:val="001C08DD"/>
    <w:rsid w:val="001F137C"/>
    <w:rsid w:val="00272817"/>
    <w:rsid w:val="0028771E"/>
    <w:rsid w:val="002A394A"/>
    <w:rsid w:val="002D3217"/>
    <w:rsid w:val="00315192"/>
    <w:rsid w:val="0033127E"/>
    <w:rsid w:val="00380328"/>
    <w:rsid w:val="003D7721"/>
    <w:rsid w:val="003E768B"/>
    <w:rsid w:val="003F7890"/>
    <w:rsid w:val="00402C36"/>
    <w:rsid w:val="004360C9"/>
    <w:rsid w:val="00455395"/>
    <w:rsid w:val="004829C8"/>
    <w:rsid w:val="0050406E"/>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73C0"/>
    <w:rsid w:val="007A6AB1"/>
    <w:rsid w:val="007B0711"/>
    <w:rsid w:val="007C5FA6"/>
    <w:rsid w:val="007E7500"/>
    <w:rsid w:val="00835345"/>
    <w:rsid w:val="00865437"/>
    <w:rsid w:val="008C5B82"/>
    <w:rsid w:val="008D309C"/>
    <w:rsid w:val="009002A5"/>
    <w:rsid w:val="009120C5"/>
    <w:rsid w:val="009215D9"/>
    <w:rsid w:val="009724A7"/>
    <w:rsid w:val="0098126F"/>
    <w:rsid w:val="009B70F2"/>
    <w:rsid w:val="009C6C3A"/>
    <w:rsid w:val="009F1F91"/>
    <w:rsid w:val="009F301F"/>
    <w:rsid w:val="009F32DA"/>
    <w:rsid w:val="00A17CC0"/>
    <w:rsid w:val="00A67BCC"/>
    <w:rsid w:val="00AC4207"/>
    <w:rsid w:val="00AE1BD0"/>
    <w:rsid w:val="00B2236F"/>
    <w:rsid w:val="00B243F4"/>
    <w:rsid w:val="00B65D5E"/>
    <w:rsid w:val="00B7243D"/>
    <w:rsid w:val="00B86A06"/>
    <w:rsid w:val="00B920C1"/>
    <w:rsid w:val="00BC7C5F"/>
    <w:rsid w:val="00BD32A3"/>
    <w:rsid w:val="00BD38AD"/>
    <w:rsid w:val="00BE1240"/>
    <w:rsid w:val="00C25383"/>
    <w:rsid w:val="00CA3B41"/>
    <w:rsid w:val="00CB11E4"/>
    <w:rsid w:val="00CB73CC"/>
    <w:rsid w:val="00CC778C"/>
    <w:rsid w:val="00CF363C"/>
    <w:rsid w:val="00D70DEE"/>
    <w:rsid w:val="00DB0EBF"/>
    <w:rsid w:val="00E526E4"/>
    <w:rsid w:val="00E82DA9"/>
    <w:rsid w:val="00EA205A"/>
    <w:rsid w:val="00EA261D"/>
    <w:rsid w:val="00EA3490"/>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2017-03-09T17:02:00Z</dcterms:created>
  <dcterms:modified xsi:type="dcterms:W3CDTF">2017-03-09T17:02:00Z</dcterms:modified>
</cp:coreProperties>
</file>