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F1" w:rsidRPr="00C1023C" w:rsidRDefault="002200F1" w:rsidP="002200F1">
      <w:pPr>
        <w:pStyle w:val="a"/>
        <w:rPr>
          <w:sz w:val="26"/>
          <w:szCs w:val="26"/>
          <w:rtl/>
        </w:rPr>
      </w:pPr>
      <w:bookmarkStart w:id="0" w:name="_GoBack"/>
      <w:bookmarkEnd w:id="0"/>
      <w:r w:rsidRPr="00C1023C">
        <w:rPr>
          <w:sz w:val="26"/>
          <w:szCs w:val="26"/>
          <w:rtl/>
        </w:rPr>
        <w:t xml:space="preserve">הרב </w:t>
      </w:r>
      <w:r>
        <w:rPr>
          <w:rFonts w:hint="cs"/>
          <w:sz w:val="26"/>
          <w:szCs w:val="26"/>
          <w:rtl/>
        </w:rPr>
        <w:t>יעקב מדן שליט"א</w:t>
      </w:r>
    </w:p>
    <w:p w:rsidR="002200F1" w:rsidRPr="00C1023C" w:rsidRDefault="002200F1" w:rsidP="002200F1">
      <w:pPr>
        <w:pStyle w:val="a"/>
        <w:rPr>
          <w:sz w:val="26"/>
          <w:szCs w:val="26"/>
          <w:rtl/>
        </w:rPr>
      </w:pPr>
      <w:r w:rsidRPr="00C1023C">
        <w:rPr>
          <w:sz w:val="26"/>
          <w:szCs w:val="26"/>
          <w:rtl/>
        </w:rPr>
        <w:t xml:space="preserve">שיחה </w:t>
      </w:r>
      <w:r w:rsidRPr="00C1023C">
        <w:rPr>
          <w:rFonts w:hint="cs"/>
          <w:sz w:val="26"/>
          <w:szCs w:val="26"/>
          <w:rtl/>
        </w:rPr>
        <w:t xml:space="preserve">לפרשת </w:t>
      </w:r>
      <w:r>
        <w:rPr>
          <w:rFonts w:hint="cs"/>
          <w:sz w:val="26"/>
          <w:szCs w:val="26"/>
          <w:rtl/>
        </w:rPr>
        <w:t>אמור</w:t>
      </w:r>
    </w:p>
    <w:p w:rsidR="002200F1" w:rsidRPr="00C1023C" w:rsidRDefault="002200F1" w:rsidP="002200F1">
      <w:pPr>
        <w:pStyle w:val="Heading1"/>
        <w:rPr>
          <w:sz w:val="22"/>
          <w:szCs w:val="46"/>
          <w:rtl/>
        </w:rPr>
      </w:pPr>
      <w:bookmarkStart w:id="1" w:name="OLE_LINK1"/>
      <w:r>
        <w:rPr>
          <w:rFonts w:hint="cs"/>
          <w:sz w:val="38"/>
          <w:szCs w:val="38"/>
          <w:rtl/>
        </w:rPr>
        <w:t>הכהונה והאחריות הלאומית</w:t>
      </w:r>
      <w:r w:rsidRPr="00C1023C">
        <w:rPr>
          <w:rStyle w:val="FootnoteReference"/>
          <w:rFonts w:eastAsiaTheme="majorEastAsia"/>
          <w:szCs w:val="20"/>
          <w:rtl/>
        </w:rPr>
        <w:footnoteReference w:customMarkFollows="1" w:id="1"/>
        <w:t>*</w:t>
      </w:r>
    </w:p>
    <w:p w:rsidR="002200F1" w:rsidRPr="00AB11A1" w:rsidRDefault="002200F1" w:rsidP="002200F1">
      <w:pPr>
        <w:pStyle w:val="Heading2"/>
        <w:rPr>
          <w:rtl/>
        </w:rPr>
      </w:pPr>
      <w:r>
        <w:rPr>
          <w:rFonts w:hint="cs"/>
          <w:rtl/>
        </w:rPr>
        <w:t>שאלת המלך באורים והתומים שעל הכהן</w:t>
      </w:r>
    </w:p>
    <w:p w:rsidR="002200F1" w:rsidRPr="006168D4" w:rsidRDefault="002200F1" w:rsidP="00F76507">
      <w:pPr>
        <w:rPr>
          <w:rtl/>
        </w:rPr>
      </w:pPr>
      <w:r w:rsidRPr="006168D4">
        <w:rPr>
          <w:rtl/>
        </w:rPr>
        <w:t>הפרשה פותחת באיסור היטמאות הכהנים:</w:t>
      </w:r>
    </w:p>
    <w:p w:rsidR="002200F1" w:rsidRDefault="002200F1" w:rsidP="00F76507">
      <w:pPr>
        <w:pStyle w:val="Quote"/>
        <w:rPr>
          <w:rtl/>
        </w:rPr>
      </w:pPr>
      <w:r>
        <w:rPr>
          <w:rFonts w:hint="cs"/>
          <w:rtl/>
        </w:rPr>
        <w:t>"</w:t>
      </w:r>
      <w:r w:rsidRPr="006168D4">
        <w:rPr>
          <w:rtl/>
        </w:rPr>
        <w:t>וַיֹּאמֶר ה' אֶל מֹשֶׁה אֱמֹר אֶל הַכֹּהֲנִים בְּנֵי אַהֲרֹן וְאָמַרְתָּ אֲלֵהֶם לְ</w:t>
      </w:r>
      <w:r>
        <w:rPr>
          <w:rtl/>
        </w:rPr>
        <w:t>נֶפֶשׁ לֹא יִטַּמָּא בְּעַמָּיו</w:t>
      </w:r>
      <w:r w:rsidR="00F76507">
        <w:rPr>
          <w:rFonts w:hint="cs"/>
          <w:rtl/>
        </w:rPr>
        <w:t>:</w:t>
      </w:r>
      <w:r>
        <w:rPr>
          <w:rFonts w:hint="cs"/>
          <w:rtl/>
        </w:rPr>
        <w:t>"</w:t>
      </w:r>
    </w:p>
    <w:p w:rsidR="002200F1" w:rsidRPr="006168D4" w:rsidRDefault="002200F1" w:rsidP="00F76507">
      <w:pPr>
        <w:pStyle w:val="a4"/>
        <w:rPr>
          <w:sz w:val="24"/>
          <w:rtl/>
        </w:rPr>
      </w:pPr>
      <w:r>
        <w:rPr>
          <w:sz w:val="24"/>
          <w:rtl/>
        </w:rPr>
        <w:tab/>
      </w:r>
      <w:r w:rsidRPr="006168D4">
        <w:rPr>
          <w:rtl/>
        </w:rPr>
        <w:t>(</w:t>
      </w:r>
      <w:r>
        <w:rPr>
          <w:rFonts w:hint="cs"/>
          <w:rtl/>
        </w:rPr>
        <w:t xml:space="preserve">ויקרא </w:t>
      </w:r>
      <w:r w:rsidRPr="006168D4">
        <w:rPr>
          <w:rtl/>
        </w:rPr>
        <w:t>כ"א, א)</w:t>
      </w:r>
    </w:p>
    <w:p w:rsidR="002200F1" w:rsidRPr="006168D4" w:rsidRDefault="002200F1" w:rsidP="00F76507">
      <w:pPr>
        <w:rPr>
          <w:rtl/>
        </w:rPr>
      </w:pPr>
      <w:r w:rsidRPr="006168D4">
        <w:rPr>
          <w:rtl/>
        </w:rPr>
        <w:t>ננסה להסביר את הקשר הניגודי שבין מוות וכהנים, וזאת באמצעות הבנת תפקידם של האורים והתומים שבחושן. האורים והתומים נמצאים בתוך החושן, והם מבארים את נוכחות השכינה ושם ה' לצד שמות בני ישראל. לחושן יש תפקיד כפול:</w:t>
      </w:r>
    </w:p>
    <w:p w:rsidR="002200F1" w:rsidRDefault="002200F1" w:rsidP="00F76507">
      <w:pPr>
        <w:pStyle w:val="ListParagraph"/>
        <w:numPr>
          <w:ilvl w:val="0"/>
          <w:numId w:val="3"/>
        </w:numPr>
      </w:pPr>
      <w:r w:rsidRPr="006168D4">
        <w:rPr>
          <w:rtl/>
        </w:rPr>
        <w:t>קביעת הנחלות בארץ, שהיא לא סתם הכרעה ממונית של כסף ההולך ובא, אלא הכרעה לדורות ביחס לאדמה.</w:t>
      </w:r>
    </w:p>
    <w:p w:rsidR="002200F1" w:rsidRPr="00F76507" w:rsidRDefault="002200F1" w:rsidP="00F76507">
      <w:pPr>
        <w:pStyle w:val="ListParagraph"/>
        <w:numPr>
          <w:ilvl w:val="0"/>
          <w:numId w:val="3"/>
        </w:numPr>
        <w:rPr>
          <w:rtl/>
        </w:rPr>
      </w:pPr>
      <w:r w:rsidRPr="00F76507">
        <w:rPr>
          <w:rFonts w:ascii="Narkisim" w:hAnsi="Narkisim"/>
          <w:rtl/>
        </w:rPr>
        <w:t>הכרעה אסטרטגית ביחס לסוגיות ביטחוניות-לאומיות כמו יציאה למלחמה.</w:t>
      </w:r>
    </w:p>
    <w:p w:rsidR="002200F1" w:rsidRPr="006168D4" w:rsidRDefault="002200F1" w:rsidP="00124BE4">
      <w:pPr>
        <w:rPr>
          <w:rtl/>
        </w:rPr>
      </w:pPr>
      <w:r w:rsidRPr="006168D4">
        <w:rPr>
          <w:rtl/>
        </w:rPr>
        <w:t>גם הרמב"ם מזכיר את שני תפקידי המלך בדרך זו:</w:t>
      </w:r>
    </w:p>
    <w:p w:rsidR="00124BE4" w:rsidRDefault="002200F1" w:rsidP="00124BE4">
      <w:pPr>
        <w:pStyle w:val="Quote"/>
        <w:rPr>
          <w:rtl/>
        </w:rPr>
      </w:pPr>
      <w:r>
        <w:rPr>
          <w:rFonts w:hint="cs"/>
          <w:rtl/>
        </w:rPr>
        <w:t>"</w:t>
      </w:r>
      <w:r w:rsidRPr="006168D4">
        <w:rPr>
          <w:rtl/>
        </w:rPr>
        <w:t>כל הארץ שכובש הרי היא שלו ונותן לעבדיו ולאנשי המלחמה כפי מה שירצה, ומניח לעצמו כפי מה שירצה, ובכל אלו הדברים דינו</w:t>
      </w:r>
      <w:r>
        <w:rPr>
          <w:rtl/>
        </w:rPr>
        <w:t xml:space="preserve"> דין</w:t>
      </w:r>
      <w:r>
        <w:rPr>
          <w:rFonts w:hint="cs"/>
          <w:rtl/>
        </w:rPr>
        <w:t>.</w:t>
      </w:r>
      <w:r w:rsidR="00124BE4">
        <w:rPr>
          <w:rFonts w:hint="cs"/>
          <w:rtl/>
        </w:rPr>
        <w:t xml:space="preserve"> </w:t>
      </w:r>
    </w:p>
    <w:p w:rsidR="002200F1" w:rsidRPr="00124BE4" w:rsidRDefault="002200F1" w:rsidP="00124BE4">
      <w:pPr>
        <w:pStyle w:val="Quote"/>
        <w:rPr>
          <w:rtl/>
        </w:rPr>
      </w:pPr>
      <w:r>
        <w:rPr>
          <w:rtl/>
        </w:rPr>
        <w:t>ובכל יהיו מעשיו לשם שמים</w:t>
      </w:r>
      <w:r>
        <w:rPr>
          <w:rFonts w:hint="cs"/>
          <w:rtl/>
        </w:rPr>
        <w:t xml:space="preserve">, </w:t>
      </w:r>
      <w:r w:rsidRPr="006168D4">
        <w:rPr>
          <w:rtl/>
        </w:rPr>
        <w:t>ותהיה מגמתו ומחשבתו להרים דת האמת, ולמלאות העולם צדק, ולשבור זרוע הרשעים ולהלחם מלחמות ה', שאין ממליכין מלך תחלה אלא לעשות משפט ומלחמות, שנאמר ושפטנו מלכנו ויצא לפנינו ונלחם את מלחמותינו</w:t>
      </w:r>
      <w:r>
        <w:rPr>
          <w:rFonts w:hint="cs"/>
          <w:rtl/>
        </w:rPr>
        <w:t>"</w:t>
      </w:r>
      <w:r w:rsidRPr="006168D4">
        <w:rPr>
          <w:rtl/>
        </w:rPr>
        <w:t>.</w:t>
      </w:r>
    </w:p>
    <w:p w:rsidR="002200F1" w:rsidRPr="006168D4" w:rsidRDefault="002200F1" w:rsidP="00124BE4">
      <w:pPr>
        <w:pStyle w:val="a4"/>
        <w:rPr>
          <w:sz w:val="24"/>
          <w:szCs w:val="24"/>
          <w:rtl/>
        </w:rPr>
      </w:pPr>
      <w:r>
        <w:rPr>
          <w:sz w:val="24"/>
          <w:szCs w:val="24"/>
          <w:rtl/>
        </w:rPr>
        <w:tab/>
      </w:r>
      <w:r>
        <w:rPr>
          <w:rFonts w:hint="cs"/>
          <w:rtl/>
        </w:rPr>
        <w:t>(רמב"ם מלכים ד', י)</w:t>
      </w:r>
    </w:p>
    <w:p w:rsidR="002200F1" w:rsidRPr="006168D4" w:rsidRDefault="002200F1" w:rsidP="00124BE4">
      <w:pPr>
        <w:rPr>
          <w:rtl/>
        </w:rPr>
      </w:pPr>
      <w:r>
        <w:rPr>
          <w:rFonts w:hint="cs"/>
          <w:rtl/>
        </w:rPr>
        <w:t>ה</w:t>
      </w:r>
      <w:r w:rsidRPr="006168D4">
        <w:rPr>
          <w:rtl/>
        </w:rPr>
        <w:t>מלך עומד לפני אלעזר הכהן ונעזר באורים ובתומים שלו בכדי לבחור. במה נתייחד כוחם של הכהנים שמשתמשים באורים ובתומים?</w:t>
      </w:r>
    </w:p>
    <w:p w:rsidR="002200F1" w:rsidRPr="00AB11A1" w:rsidRDefault="002200F1" w:rsidP="002200F1">
      <w:pPr>
        <w:pStyle w:val="Heading2"/>
        <w:rPr>
          <w:rtl/>
        </w:rPr>
      </w:pPr>
      <w:r>
        <w:rPr>
          <w:rFonts w:hint="cs"/>
          <w:rtl/>
        </w:rPr>
        <w:t>שאול שואל את בעלת האוב</w:t>
      </w:r>
    </w:p>
    <w:p w:rsidR="002200F1" w:rsidRPr="006168D4" w:rsidRDefault="002200F1" w:rsidP="00124BE4">
      <w:pPr>
        <w:rPr>
          <w:rtl/>
        </w:rPr>
      </w:pPr>
      <w:r w:rsidRPr="006168D4">
        <w:rPr>
          <w:rtl/>
        </w:rPr>
        <w:t xml:space="preserve">נבחן את </w:t>
      </w:r>
      <w:r>
        <w:rPr>
          <w:rFonts w:hint="cs"/>
          <w:rtl/>
        </w:rPr>
        <w:t xml:space="preserve">החלופה </w:t>
      </w:r>
      <w:r w:rsidRPr="006168D4">
        <w:rPr>
          <w:rtl/>
        </w:rPr>
        <w:t>– ניבוי העתיד באמצ</w:t>
      </w:r>
      <w:r>
        <w:rPr>
          <w:rtl/>
        </w:rPr>
        <w:t>עות בעלת האוב לדוגמ</w:t>
      </w:r>
      <w:r>
        <w:rPr>
          <w:rFonts w:hint="cs"/>
          <w:rtl/>
        </w:rPr>
        <w:t>ה</w:t>
      </w:r>
      <w:r w:rsidRPr="006168D4">
        <w:rPr>
          <w:rtl/>
        </w:rPr>
        <w:t>. שאול פונה לבעלת האוב וזו נותנת לו תשובה ברורה וקודרת ביחס לעתידו:</w:t>
      </w:r>
    </w:p>
    <w:p w:rsidR="00124BE4" w:rsidRDefault="002200F1" w:rsidP="00124BE4">
      <w:pPr>
        <w:pStyle w:val="Quote"/>
        <w:rPr>
          <w:rFonts w:ascii="Arial" w:hAnsi="Arial"/>
          <w:sz w:val="24"/>
          <w:rtl/>
        </w:rPr>
      </w:pPr>
      <w:r>
        <w:rPr>
          <w:rFonts w:hint="cs"/>
          <w:rtl/>
        </w:rPr>
        <w:t>"</w:t>
      </w:r>
      <w:r w:rsidRPr="006168D4">
        <w:rPr>
          <w:rtl/>
        </w:rPr>
        <w:t>וַיֹּאמֶר שָׁאוּל לַעֲבָדָיו בַּקְּשׁוּ לִי אֵשֶׁת בַּעֲלַת אוֹב וְאֵלְכָה אֵלֶיהָ וְאֶדְרְשָׁה בָּהּ וַיֹּאמְרוּ עֲבָדָיו אֵלָיו הִנֵּה אֵשֶׁת ב</w:t>
      </w:r>
      <w:r>
        <w:rPr>
          <w:rtl/>
        </w:rPr>
        <w:t>ַּעֲלַת אוֹב בְּעֵין דּוֹר...</w:t>
      </w:r>
      <w:r w:rsidRPr="006168D4">
        <w:rPr>
          <w:rtl/>
        </w:rPr>
        <w:t xml:space="preserve"> וַיֹּאמֶר שְׁמוּאֵל אֶל שָׁאוּל לָמָּה הִרְגַּזְתַּנִי לְהַעֲלוֹת אֹתִי וַיֹּאמֶר שָׁאוּל צַר לִי מְאֹד וּפְלִשְׁתִּים נִלְחָמִים בִּי וֵאלֹהִים סָר מֵעָלַי וְלֹא עָנָנִי עוֹד גַּם בְּיַד הַנְּבִיאִם גַּם בַּחֲלֹמוֹת וָאֶקְרָאֶה לְךָ לְהוֹדִיעֵנִי מָה אֶעֱשֶׂה:</w:t>
      </w:r>
      <w:r w:rsidR="00124BE4">
        <w:rPr>
          <w:rFonts w:hint="cs"/>
          <w:rtl/>
        </w:rPr>
        <w:t xml:space="preserve"> </w:t>
      </w:r>
      <w:r w:rsidRPr="006168D4">
        <w:rPr>
          <w:rFonts w:ascii="Arial" w:hAnsi="Arial"/>
          <w:sz w:val="24"/>
          <w:rtl/>
        </w:rPr>
        <w:t>וַיֹּאמֶר שְׁמוּאֵל וְלָמָּה תִּשְׁאָלֵנִי וַה' סָר מֵעָלֶיךָ וַיְהִי עָרֶךָ: וַיַּעַשׂ ה' לוֹ כַּאֲשֶׁר דִּבֶּר בְּיָדִי וַיִּקְרַע ה' אֶת הַמַּמְלָכָה מִיָּדֶךָ וַיִּתְּנָהּ לְרֵעֲךָ לְדָוִד: כַּאֲשֶׁר לֹא שָׁמַעְתָּ בְּקוֹל ה' וְלֹא עָשִׂיתָ חֲרוֹן אַפּוֹ בַּעֲמָלֵק עַל כֵּן הַדָּבָר הַזֶּה עָשָׂה לְךָ ה' הַיּוֹם הַזֶּה: וְיִתֵּן ה' גַּם אֶת יִשְׂרָאֵל עִמְּךָ בְּיַד פְּלִשְׁתִּים וּמָחָר אַתָּה וּבָנֶיךָ עִמִּי גַּם אֶת מַחֲנֵה יִשְׂרָאֵל יִתֵּן ה' בְּיַד פְּלִשְׁתִּים:</w:t>
      </w:r>
      <w:r w:rsidR="00124BE4">
        <w:rPr>
          <w:rFonts w:ascii="Arial" w:hAnsi="Arial" w:hint="cs"/>
          <w:sz w:val="24"/>
          <w:rtl/>
        </w:rPr>
        <w:t xml:space="preserve"> </w:t>
      </w:r>
      <w:r w:rsidRPr="006168D4">
        <w:rPr>
          <w:rFonts w:ascii="Arial" w:hAnsi="Arial"/>
          <w:sz w:val="24"/>
          <w:rtl/>
        </w:rPr>
        <w:t>וַיְמַהֵר שָׁאוּל וַיִּפֹּל מְלֹא קוֹמָתוֹ אַרְצָה וַיִּרָא מְאֹד מִדִּבְרֵי שְׁמוּאֵל גַּם כֹּחַ לֹא הָיָה בוֹ כִּי לֹא אָכַל לֶחֶם כָּל הַיּוֹם וְכָל הַלָּיְלָה</w:t>
      </w:r>
      <w:r w:rsidR="00124BE4">
        <w:rPr>
          <w:rFonts w:ascii="Arial" w:hAnsi="Arial" w:hint="cs"/>
          <w:sz w:val="24"/>
          <w:rtl/>
        </w:rPr>
        <w:t>:</w:t>
      </w:r>
      <w:r>
        <w:rPr>
          <w:rFonts w:ascii="Arial" w:hAnsi="Arial" w:hint="cs"/>
          <w:sz w:val="24"/>
          <w:rtl/>
        </w:rPr>
        <w:t>"</w:t>
      </w:r>
      <w:r>
        <w:rPr>
          <w:rFonts w:ascii="Arial" w:hAnsi="Arial"/>
          <w:sz w:val="24"/>
          <w:rtl/>
        </w:rPr>
        <w:tab/>
      </w:r>
    </w:p>
    <w:p w:rsidR="002200F1" w:rsidRPr="006168D4" w:rsidRDefault="00124BE4" w:rsidP="00124BE4">
      <w:pPr>
        <w:pStyle w:val="a4"/>
        <w:rPr>
          <w:sz w:val="24"/>
          <w:szCs w:val="24"/>
          <w:rtl/>
        </w:rPr>
      </w:pPr>
      <w:r>
        <w:rPr>
          <w:rtl/>
        </w:rPr>
        <w:t>(שמ</w:t>
      </w:r>
      <w:r>
        <w:rPr>
          <w:rFonts w:hint="cs"/>
          <w:rtl/>
        </w:rPr>
        <w:t xml:space="preserve">ואל </w:t>
      </w:r>
      <w:r w:rsidR="002200F1" w:rsidRPr="006168D4">
        <w:rPr>
          <w:rtl/>
        </w:rPr>
        <w:t>א כ"ח, ז-כ)</w:t>
      </w:r>
    </w:p>
    <w:p w:rsidR="002200F1" w:rsidRPr="006168D4" w:rsidRDefault="002200F1" w:rsidP="00124BE4">
      <w:pPr>
        <w:rPr>
          <w:rtl/>
        </w:rPr>
      </w:pPr>
      <w:r w:rsidRPr="006168D4">
        <w:rPr>
          <w:rtl/>
        </w:rPr>
        <w:t>המדרש מעביר ביקורת על מעשה זה של שאול:</w:t>
      </w:r>
    </w:p>
    <w:p w:rsidR="002200F1" w:rsidRDefault="002200F1" w:rsidP="00124BE4">
      <w:pPr>
        <w:pStyle w:val="Quote"/>
        <w:rPr>
          <w:rtl/>
        </w:rPr>
      </w:pPr>
      <w:r>
        <w:rPr>
          <w:rFonts w:hint="cs"/>
          <w:rtl/>
        </w:rPr>
        <w:t>"</w:t>
      </w:r>
      <w:r w:rsidRPr="006168D4">
        <w:rPr>
          <w:rtl/>
        </w:rPr>
        <w:t xml:space="preserve">מה כתיב למעלה מן הענין </w:t>
      </w:r>
      <w:r w:rsidRPr="006168D4">
        <w:rPr>
          <w:szCs w:val="20"/>
          <w:rtl/>
        </w:rPr>
        <w:t xml:space="preserve">(ויקרא כ) </w:t>
      </w:r>
      <w:r>
        <w:rPr>
          <w:rFonts w:hint="cs"/>
          <w:szCs w:val="20"/>
          <w:rtl/>
        </w:rPr>
        <w:t>'</w:t>
      </w:r>
      <w:r w:rsidRPr="006168D4">
        <w:rPr>
          <w:rtl/>
        </w:rPr>
        <w:t>ואיש או אשה כי יהיה בהם אוב או ידעוני</w:t>
      </w:r>
      <w:r>
        <w:rPr>
          <w:rFonts w:hint="cs"/>
          <w:rtl/>
        </w:rPr>
        <w:t xml:space="preserve">' </w:t>
      </w:r>
      <w:r>
        <w:rPr>
          <w:rtl/>
        </w:rPr>
        <w:t>–</w:t>
      </w:r>
      <w:r w:rsidRPr="006168D4">
        <w:rPr>
          <w:rtl/>
        </w:rPr>
        <w:t xml:space="preserve"> ר' יהושע דסכנין אמר בשם ר' לוי ואיש זה שאול ואשה זו אשת בעלת אוב</w:t>
      </w:r>
      <w:r>
        <w:rPr>
          <w:rFonts w:hint="cs"/>
          <w:rtl/>
        </w:rPr>
        <w:t>.</w:t>
      </w:r>
      <w:r w:rsidRPr="006168D4">
        <w:rPr>
          <w:rtl/>
        </w:rPr>
        <w:t xml:space="preserve"> ר' לוי בשם ר' חמא בר חנינא מה כתיב </w:t>
      </w:r>
      <w:r>
        <w:rPr>
          <w:rFonts w:hint="cs"/>
          <w:rtl/>
        </w:rPr>
        <w:t>'</w:t>
      </w:r>
      <w:r w:rsidRPr="006168D4">
        <w:rPr>
          <w:rtl/>
        </w:rPr>
        <w:t>והיית רק למעלה</w:t>
      </w:r>
      <w:r>
        <w:rPr>
          <w:rFonts w:hint="cs"/>
          <w:rtl/>
        </w:rPr>
        <w:t>'</w:t>
      </w:r>
      <w:r w:rsidRPr="006168D4">
        <w:rPr>
          <w:rtl/>
        </w:rPr>
        <w:t xml:space="preserve"> מוטב היה לו לשאול </w:t>
      </w:r>
      <w:r w:rsidRPr="006168D4">
        <w:rPr>
          <w:rtl/>
        </w:rPr>
        <w:lastRenderedPageBreak/>
        <w:t>באורים ותומים של מעלן ולא באוב וידעוני של מטן</w:t>
      </w:r>
      <w:r w:rsidR="00124BE4">
        <w:rPr>
          <w:rFonts w:hint="cs"/>
          <w:rtl/>
        </w:rPr>
        <w:t>.</w:t>
      </w:r>
      <w:r>
        <w:rPr>
          <w:rFonts w:hint="cs"/>
          <w:rtl/>
        </w:rPr>
        <w:t>"</w:t>
      </w:r>
    </w:p>
    <w:p w:rsidR="002200F1" w:rsidRPr="006168D4" w:rsidRDefault="002200F1" w:rsidP="00124BE4">
      <w:pPr>
        <w:pStyle w:val="a4"/>
        <w:rPr>
          <w:sz w:val="24"/>
          <w:szCs w:val="24"/>
          <w:rtl/>
        </w:rPr>
      </w:pPr>
      <w:r>
        <w:rPr>
          <w:sz w:val="24"/>
          <w:szCs w:val="24"/>
          <w:rtl/>
        </w:rPr>
        <w:tab/>
      </w:r>
      <w:r w:rsidRPr="006168D4">
        <w:rPr>
          <w:rtl/>
        </w:rPr>
        <w:t>(ויקרא רבה אמור פרשה כו אות ז ד"ה מה)</w:t>
      </w:r>
    </w:p>
    <w:p w:rsidR="002200F1" w:rsidRPr="006168D4" w:rsidRDefault="002200F1" w:rsidP="0039707A">
      <w:pPr>
        <w:rPr>
          <w:rtl/>
        </w:rPr>
      </w:pPr>
      <w:r w:rsidRPr="006168D4">
        <w:rPr>
          <w:rtl/>
        </w:rPr>
        <w:t>נראה, שהנחת המדרש היא שאם שאול היה הולך לכהנים, הייתה אפשרות אחרת לסיום המערכה. המדרש אף מזכיר לשאול את הריגת הכהנים בנוב:</w:t>
      </w:r>
    </w:p>
    <w:p w:rsidR="002200F1" w:rsidRPr="006168D4" w:rsidRDefault="002200F1" w:rsidP="0039707A">
      <w:pPr>
        <w:pStyle w:val="Quote"/>
        <w:rPr>
          <w:rtl/>
        </w:rPr>
      </w:pPr>
      <w:r>
        <w:rPr>
          <w:rFonts w:hint="cs"/>
          <w:rtl/>
        </w:rPr>
        <w:t>"</w:t>
      </w:r>
      <w:r w:rsidRPr="006168D4">
        <w:rPr>
          <w:rtl/>
        </w:rPr>
        <w:t>אתה הוא שגרמת על עצמך! לא אתה הוא שהכית נוב עיר הכהנים?</w:t>
      </w:r>
      <w:r>
        <w:rPr>
          <w:rFonts w:hint="cs"/>
          <w:rtl/>
        </w:rPr>
        <w:t>"</w:t>
      </w:r>
    </w:p>
    <w:p w:rsidR="002200F1" w:rsidRPr="006168D4" w:rsidRDefault="002200F1" w:rsidP="0039707A">
      <w:pPr>
        <w:rPr>
          <w:rtl/>
        </w:rPr>
      </w:pPr>
      <w:r w:rsidRPr="006168D4">
        <w:rPr>
          <w:rtl/>
        </w:rPr>
        <w:t>זהו הניסוח הקודר והמוחלט של שמואל כשהוא מתגלה בצינור של המתים. אין כאן עתיד ואפשרות תיקון אלא רק מסר דטרמיניסטי קשה ונוקב. יתרונן של הכהונה והנבואה הוא בכך שהן מאפשרות לאדם עשייה ולקיחת אחריות.</w:t>
      </w:r>
    </w:p>
    <w:p w:rsidR="002200F1" w:rsidRPr="006168D4" w:rsidRDefault="002200F1" w:rsidP="0039707A">
      <w:pPr>
        <w:rPr>
          <w:rtl/>
        </w:rPr>
      </w:pPr>
      <w:r w:rsidRPr="006168D4">
        <w:rPr>
          <w:rtl/>
        </w:rPr>
        <w:t>פנייה לבעלת אוב היא בעצם ניסיון לדעת אמת קוסמית עלומה יותר באמצעות המוות. אנשים פונים אל המתים מתוך געגועים או מתוך תחושה שיש שם ידע ברור יותר מזה שבידינו. אך כוח זה, שקיים גם אצל הנבואה, מתגלה באמצעות המתים בדרך שונה לגמרי.</w:t>
      </w:r>
    </w:p>
    <w:p w:rsidR="002200F1" w:rsidRDefault="002200F1" w:rsidP="0039707A">
      <w:pPr>
        <w:rPr>
          <w:rtl/>
        </w:rPr>
      </w:pPr>
      <w:r w:rsidRPr="006168D4">
        <w:rPr>
          <w:rtl/>
        </w:rPr>
        <w:t>כאשר שמואל מתגלה לשא</w:t>
      </w:r>
      <w:r w:rsidR="0039707A">
        <w:rPr>
          <w:rtl/>
        </w:rPr>
        <w:t>ול באמצעות בעלת האוב הנבואה הופ</w:t>
      </w:r>
      <w:r w:rsidR="0039707A">
        <w:rPr>
          <w:rFonts w:hint="cs"/>
          <w:rtl/>
        </w:rPr>
        <w:t>כת</w:t>
      </w:r>
      <w:r w:rsidRPr="006168D4">
        <w:rPr>
          <w:rtl/>
        </w:rPr>
        <w:t xml:space="preserve"> לדטרמיניסטית וקבועה. אין כאן כלל יכולת שינוי – "וּמָחָר אַתָּה וּבָנֶיךָ עִמִּי גַּם אֶת מַחֲנֵה יִשְׂרָאֵל יִתֵּן ה' בְּיַד פְּלִשְׁתִּים". </w:t>
      </w:r>
    </w:p>
    <w:p w:rsidR="002200F1" w:rsidRPr="006168D4" w:rsidRDefault="002200F1" w:rsidP="0039707A">
      <w:pPr>
        <w:rPr>
          <w:rtl/>
        </w:rPr>
      </w:pPr>
      <w:r w:rsidRPr="006168D4">
        <w:rPr>
          <w:rtl/>
        </w:rPr>
        <w:t>גישתו של שאול מוזכרת גם בספר ישעיה:</w:t>
      </w:r>
    </w:p>
    <w:p w:rsidR="0039707A" w:rsidRDefault="002200F1" w:rsidP="0039707A">
      <w:pPr>
        <w:pStyle w:val="Quote"/>
        <w:rPr>
          <w:rtl/>
        </w:rPr>
      </w:pPr>
      <w:r>
        <w:rPr>
          <w:rFonts w:hint="cs"/>
          <w:rtl/>
        </w:rPr>
        <w:t>"</w:t>
      </w:r>
      <w:r w:rsidRPr="006168D4">
        <w:rPr>
          <w:rtl/>
        </w:rPr>
        <w:t>וַיִּקְרָא אֲ</w:t>
      </w:r>
      <w:r>
        <w:rPr>
          <w:rFonts w:hint="cs"/>
          <w:rtl/>
        </w:rPr>
        <w:t>-</w:t>
      </w:r>
      <w:r w:rsidRPr="006168D4">
        <w:rPr>
          <w:rtl/>
        </w:rPr>
        <w:t>דֹנָי ה' צְ</w:t>
      </w:r>
      <w:r w:rsidR="0039707A">
        <w:rPr>
          <w:rFonts w:hint="cs"/>
          <w:rtl/>
        </w:rPr>
        <w:t>-</w:t>
      </w:r>
      <w:r w:rsidRPr="006168D4">
        <w:rPr>
          <w:rtl/>
        </w:rPr>
        <w:t>בָאוֹת בַּיּוֹם הַהוּא לִבְכִי וּלְמִסְפֵּד וּלְקָרְחָה וְלַחֲגֹר שָׂק: וְהִנֵּה שָׂשׂוֹן וְשִׂמְחָה הָרֹג בָּקָר וְשָׁחֹט צֹאן אָכֹל בָּשָׂר וְשָׁתוֹת יָיִן אָכוֹל וְשָׁתוֹ כִּי מָחָר נָמוּת: וְנִגְלָה בְאָזְנָי ה' צְבָאוֹת אִם יְכֻפַּר הֶעָוֹן הַזֶּה לָכֶם עַד תְּמֻתוּן אָמַר אֲ</w:t>
      </w:r>
      <w:r>
        <w:rPr>
          <w:rFonts w:hint="cs"/>
          <w:rtl/>
        </w:rPr>
        <w:t>-</w:t>
      </w:r>
      <w:r w:rsidRPr="006168D4">
        <w:rPr>
          <w:rtl/>
        </w:rPr>
        <w:t xml:space="preserve">דֹנָי ה' </w:t>
      </w:r>
      <w:r w:rsidR="0039707A">
        <w:rPr>
          <w:rFonts w:hint="cs"/>
          <w:rtl/>
        </w:rPr>
        <w:t xml:space="preserve">     </w:t>
      </w:r>
      <w:r w:rsidRPr="006168D4">
        <w:rPr>
          <w:rtl/>
        </w:rPr>
        <w:t>צְ</w:t>
      </w:r>
      <w:r w:rsidR="0039707A">
        <w:rPr>
          <w:rFonts w:hint="cs"/>
          <w:rtl/>
        </w:rPr>
        <w:t>-</w:t>
      </w:r>
      <w:r w:rsidRPr="006168D4">
        <w:rPr>
          <w:rtl/>
        </w:rPr>
        <w:t>בָאוֹת</w:t>
      </w:r>
      <w:r w:rsidR="0039707A">
        <w:rPr>
          <w:rFonts w:hint="cs"/>
          <w:rtl/>
        </w:rPr>
        <w:t>.</w:t>
      </w:r>
      <w:r>
        <w:rPr>
          <w:rFonts w:hint="cs"/>
          <w:rtl/>
        </w:rPr>
        <w:t>"</w:t>
      </w:r>
      <w:r>
        <w:rPr>
          <w:rtl/>
        </w:rPr>
        <w:tab/>
      </w:r>
    </w:p>
    <w:p w:rsidR="002200F1" w:rsidRPr="006168D4" w:rsidRDefault="002200F1" w:rsidP="0039707A">
      <w:pPr>
        <w:pStyle w:val="a4"/>
        <w:rPr>
          <w:rtl/>
        </w:rPr>
      </w:pPr>
      <w:r w:rsidRPr="006236DB">
        <w:rPr>
          <w:rtl/>
        </w:rPr>
        <w:t>(</w:t>
      </w:r>
      <w:r>
        <w:rPr>
          <w:rFonts w:hint="cs"/>
          <w:rtl/>
        </w:rPr>
        <w:t xml:space="preserve">ישעיהו </w:t>
      </w:r>
      <w:r w:rsidRPr="006236DB">
        <w:rPr>
          <w:rtl/>
        </w:rPr>
        <w:t>כ"ב, יב-יד)</w:t>
      </w:r>
    </w:p>
    <w:p w:rsidR="002200F1" w:rsidRPr="006168D4" w:rsidRDefault="002200F1" w:rsidP="0039707A">
      <w:pPr>
        <w:rPr>
          <w:rtl/>
        </w:rPr>
      </w:pPr>
      <w:r w:rsidRPr="006168D4">
        <w:rPr>
          <w:rtl/>
        </w:rPr>
        <w:t>על שאול עצמו, שצם עד למפגש עם בעלת האוב מתוך תקווה לשינוי, מסופר:</w:t>
      </w:r>
    </w:p>
    <w:p w:rsidR="0039707A" w:rsidRDefault="002200F1" w:rsidP="0039707A">
      <w:pPr>
        <w:pStyle w:val="Quote"/>
        <w:rPr>
          <w:szCs w:val="20"/>
          <w:rtl/>
        </w:rPr>
      </w:pPr>
      <w:r>
        <w:rPr>
          <w:rFonts w:hint="cs"/>
          <w:rtl/>
        </w:rPr>
        <w:t>"</w:t>
      </w:r>
      <w:r w:rsidRPr="006168D4">
        <w:rPr>
          <w:rtl/>
        </w:rPr>
        <w:t>וְלָאִשָּׁה עֵגֶל מַרְבֵּק בַּבַּיִת וַתְּמַהֵר וַתִּזְבָּחֵהוּ וַתִּקַּח קֶמַח וַתָּלָשׁ וַתֹּפֵהוּ מַצּוֹת: וַתַּגֵּשׁ לִפְנֵי שָׁאוּל וְלִפְנֵי עֲבָדָיו וַיֹּאכֵלוּ וַיָּקֻמוּ וַיֵּלְכוּ בַּלַּיְלָה הַהוּא</w:t>
      </w:r>
      <w:r w:rsidR="0039707A">
        <w:rPr>
          <w:rFonts w:hint="cs"/>
          <w:rtl/>
        </w:rPr>
        <w:t>.</w:t>
      </w:r>
      <w:r>
        <w:rPr>
          <w:rFonts w:hint="cs"/>
          <w:rtl/>
        </w:rPr>
        <w:t>"</w:t>
      </w:r>
      <w:r>
        <w:rPr>
          <w:rtl/>
        </w:rPr>
        <w:tab/>
      </w:r>
    </w:p>
    <w:p w:rsidR="002200F1" w:rsidRPr="006168D4" w:rsidRDefault="002200F1" w:rsidP="0039707A">
      <w:pPr>
        <w:pStyle w:val="a4"/>
        <w:rPr>
          <w:rtl/>
        </w:rPr>
      </w:pPr>
      <w:r>
        <w:rPr>
          <w:rFonts w:hint="cs"/>
          <w:rtl/>
        </w:rPr>
        <w:t>(שמ"א כ"ח, כד-כה)</w:t>
      </w:r>
    </w:p>
    <w:p w:rsidR="002200F1" w:rsidRDefault="002200F1" w:rsidP="0039707A">
      <w:pPr>
        <w:rPr>
          <w:rtl/>
        </w:rPr>
      </w:pPr>
      <w:r w:rsidRPr="006168D4">
        <w:rPr>
          <w:rtl/>
        </w:rPr>
        <w:t>לאחר ששאול שומע את הסוף הצפוי מבלי יכולת שינוי, הוא מפסיק את התענית, אוכל ושותה. שאול עצמו מודע לסוף הצפוי ולתלייתו על חומת בית שאן, ומונע מעם ישראל את הביזיון הגדול יותר באופן הריגתו, בכך שהוא מבקש להמיתו לפני הגעת הפל</w:t>
      </w:r>
      <w:r>
        <w:rPr>
          <w:rFonts w:hint="cs"/>
          <w:rtl/>
        </w:rPr>
        <w:t>י</w:t>
      </w:r>
      <w:r w:rsidRPr="006168D4">
        <w:rPr>
          <w:rtl/>
        </w:rPr>
        <w:t>שתים.</w:t>
      </w:r>
    </w:p>
    <w:p w:rsidR="002200F1" w:rsidRPr="00AB11A1" w:rsidRDefault="002200F1" w:rsidP="002200F1">
      <w:pPr>
        <w:pStyle w:val="Heading2"/>
        <w:rPr>
          <w:rtl/>
        </w:rPr>
      </w:pPr>
      <w:r>
        <w:rPr>
          <w:rFonts w:hint="cs"/>
          <w:rtl/>
        </w:rPr>
        <w:t>כוחה של נבואה</w:t>
      </w:r>
    </w:p>
    <w:p w:rsidR="002200F1" w:rsidRPr="006168D4" w:rsidRDefault="002200F1" w:rsidP="0039707A">
      <w:pPr>
        <w:rPr>
          <w:rtl/>
        </w:rPr>
      </w:pPr>
      <w:r w:rsidRPr="006168D4">
        <w:rPr>
          <w:rtl/>
        </w:rPr>
        <w:t>הנבואה מותירה לאדם חירות לפעול, וכך אנו רואים גם במלחמת האחים שבסיפור פילגש בגבעה. שם מנסים השבטים לפנות אל האורים והתומים כדי לדעת את תוצאות הקרב. המענה הראשון והשני הוא "עלו", אך מענה זה לכאורה אינו נכון!</w:t>
      </w:r>
    </w:p>
    <w:p w:rsidR="002200F1" w:rsidRPr="006168D4" w:rsidRDefault="002200F1" w:rsidP="0039707A">
      <w:pPr>
        <w:rPr>
          <w:rtl/>
        </w:rPr>
      </w:pPr>
      <w:r w:rsidRPr="006168D4">
        <w:rPr>
          <w:rtl/>
        </w:rPr>
        <w:t>מדוע מנצחים השבטים בפעם השלישית? כיוון שהם מבינים את התפקיד האמתי של האורים והתומים – להעניק לאדם אחריות לביצוע משימה. השבטים לא מסתערים שוב כאספסוף, אלא מתארגנים בצורה טקטית כדי לנצח, וכעת הם אכן מנצחים.</w:t>
      </w:r>
    </w:p>
    <w:p w:rsidR="002200F1" w:rsidRPr="006168D4" w:rsidRDefault="002200F1" w:rsidP="0039707A">
      <w:pPr>
        <w:rPr>
          <w:rtl/>
        </w:rPr>
      </w:pPr>
      <w:r w:rsidRPr="006168D4">
        <w:rPr>
          <w:rtl/>
        </w:rPr>
        <w:t>דרישה אל המתים היא בסופו של דבר כניעה לדטרמיניזם ואילו ה</w:t>
      </w:r>
      <w:r w:rsidR="0039707A">
        <w:rPr>
          <w:rtl/>
        </w:rPr>
        <w:t xml:space="preserve">נבואה מאפשרת לאדם לקחת אחריות. </w:t>
      </w:r>
      <w:r w:rsidRPr="006168D4">
        <w:rPr>
          <w:rtl/>
        </w:rPr>
        <w:t>אחריות זו נותנת לאדם חירות לתקן ולפעול, וזו העצמאות האמתית. עבד אינו לוקח אחריות והוא נתון לקביעות של גורמים חיצוניים, אך בן חורין יכול לקחת אחריות.</w:t>
      </w:r>
    </w:p>
    <w:p w:rsidR="002200F1" w:rsidRPr="006168D4" w:rsidRDefault="002200F1" w:rsidP="0039707A">
      <w:pPr>
        <w:rPr>
          <w:rtl/>
        </w:rPr>
      </w:pPr>
      <w:r w:rsidRPr="006168D4">
        <w:rPr>
          <w:rtl/>
        </w:rPr>
        <w:t>לקיחת אחריות זו מתירה אפילו מפגש של הכהנים עם הטומאה – "מת מצווה". על אף שכהן גדול אסור להיטמא למתים, פעם אחת ישנו היתר – במקרה של מת מצווה, במקרה שבו על הכהן הגדול לקחת אחריות על החברה ולפעול.</w:t>
      </w:r>
    </w:p>
    <w:p w:rsidR="002200F1" w:rsidRPr="006168D4" w:rsidRDefault="002200F1" w:rsidP="0039707A">
      <w:pPr>
        <w:rPr>
          <w:rtl/>
        </w:rPr>
      </w:pPr>
      <w:r w:rsidRPr="006168D4">
        <w:rPr>
          <w:rtl/>
        </w:rPr>
        <w:t>לוחמי יבש גלעד הם דוגמא נוספת ללקיחת אחריות. במבצע צבאי נועז ומסוכן הם מתגנבים לחומות בית שאן, ומצילים את גופות שאול ובניו התלויות בביזיון. זוהי לקיחת אחריות אמתית!</w:t>
      </w:r>
    </w:p>
    <w:p w:rsidR="002200F1" w:rsidRPr="00AB11A1" w:rsidRDefault="002200F1" w:rsidP="002200F1">
      <w:pPr>
        <w:pStyle w:val="Heading2"/>
        <w:rPr>
          <w:rtl/>
        </w:rPr>
      </w:pPr>
      <w:r>
        <w:rPr>
          <w:rFonts w:hint="cs"/>
          <w:rtl/>
        </w:rPr>
        <w:t xml:space="preserve">האחריות </w:t>
      </w:r>
      <w:r>
        <w:rPr>
          <w:rtl/>
        </w:rPr>
        <w:t>–</w:t>
      </w:r>
      <w:r>
        <w:rPr>
          <w:rFonts w:hint="cs"/>
          <w:rtl/>
        </w:rPr>
        <w:t xml:space="preserve"> השקת ההלכה והחיים</w:t>
      </w:r>
    </w:p>
    <w:p w:rsidR="002200F1" w:rsidRPr="006168D4" w:rsidRDefault="002200F1" w:rsidP="0039707A">
      <w:pPr>
        <w:rPr>
          <w:rtl/>
        </w:rPr>
      </w:pPr>
      <w:r w:rsidRPr="006168D4">
        <w:rPr>
          <w:rtl/>
        </w:rPr>
        <w:t>לפני יום העצמאות אנו פוגשים את יום הזיכרון. יום הזיכרון הוא יום המשפט, כפי שאנו מוצאים בראש השנה. אנו עומדים לפני לוחמי ישראל, לפני יותר מעשרים אלף הרוגים על קידוש השם, ואנו נתבעים לתת להם דין וחשבון.</w:t>
      </w:r>
    </w:p>
    <w:p w:rsidR="002200F1" w:rsidRPr="006168D4" w:rsidRDefault="002200F1" w:rsidP="0039707A">
      <w:pPr>
        <w:rPr>
          <w:rtl/>
        </w:rPr>
      </w:pPr>
      <w:r>
        <w:rPr>
          <w:rFonts w:hint="cs"/>
          <w:rtl/>
        </w:rPr>
        <w:lastRenderedPageBreak/>
        <w:t>ו</w:t>
      </w:r>
      <w:r w:rsidRPr="006168D4">
        <w:rPr>
          <w:rtl/>
        </w:rPr>
        <w:t xml:space="preserve">אנו בישיבת הר עציון נתבעים לתת דין וחשבון כפול! אנו עומדים על חורבות גוש עציון, אשר יום הזיכרון של לוחמיו נקבע לתאריך </w:t>
      </w:r>
      <w:r>
        <w:rPr>
          <w:rFonts w:hint="cs"/>
          <w:rtl/>
        </w:rPr>
        <w:t xml:space="preserve">משמעותי </w:t>
      </w:r>
      <w:r w:rsidRPr="006168D4">
        <w:rPr>
          <w:rtl/>
        </w:rPr>
        <w:t>זה</w:t>
      </w:r>
      <w:r>
        <w:rPr>
          <w:rFonts w:hint="cs"/>
          <w:rtl/>
        </w:rPr>
        <w:t xml:space="preserve"> </w:t>
      </w:r>
      <w:r w:rsidRPr="006168D4">
        <w:rPr>
          <w:rtl/>
        </w:rPr>
        <w:t>– ד' באייר. מעבר לכך, אנו חלק מעולם הישיבות</w:t>
      </w:r>
      <w:r>
        <w:rPr>
          <w:rFonts w:hint="cs"/>
          <w:rtl/>
        </w:rPr>
        <w:t xml:space="preserve"> הכללי, ממי שאמורים לדאוג לתורה</w:t>
      </w:r>
      <w:r w:rsidRPr="006168D4">
        <w:rPr>
          <w:rtl/>
        </w:rPr>
        <w:t xml:space="preserve">, ולכן </w:t>
      </w:r>
      <w:r>
        <w:rPr>
          <w:rFonts w:hint="cs"/>
          <w:rtl/>
        </w:rPr>
        <w:t xml:space="preserve">אנו </w:t>
      </w:r>
      <w:r w:rsidRPr="006168D4">
        <w:rPr>
          <w:rtl/>
        </w:rPr>
        <w:t>חייבים לקחת אחריות אמתית.</w:t>
      </w:r>
    </w:p>
    <w:p w:rsidR="002200F1" w:rsidRPr="006168D4" w:rsidRDefault="002200F1" w:rsidP="003252EC">
      <w:pPr>
        <w:rPr>
          <w:rtl/>
        </w:rPr>
      </w:pPr>
      <w:r w:rsidRPr="006168D4">
        <w:rPr>
          <w:rtl/>
        </w:rPr>
        <w:t>האחריות בתוך עולם הישיבה שמוטלת על היושבים כאן היא בנקודת ההשקה שבין ההלכה למציאות החיים. אדגים זאת באמצעות מספר נושאים:</w:t>
      </w:r>
    </w:p>
    <w:p w:rsidR="002200F1" w:rsidRPr="00D77585" w:rsidRDefault="002200F1" w:rsidP="003252EC">
      <w:pPr>
        <w:pStyle w:val="ListParagraph"/>
        <w:numPr>
          <w:ilvl w:val="0"/>
          <w:numId w:val="4"/>
        </w:numPr>
      </w:pPr>
      <w:r w:rsidRPr="00D77585">
        <w:rPr>
          <w:rtl/>
        </w:rPr>
        <w:t>גיטין – מבחינת ההלכה ה"יבשה", גט צריך להינתן מרצונו החופשי של הבעל, ואם נלך עם הקביעה ההלכתית הפשוטה, נמצאנו מרבים ממזרים עד כדי כך שבמקום לסנן את הממזרים נצטרך למצוא את היהודים הכשרים לגמרי.</w:t>
      </w:r>
    </w:p>
    <w:p w:rsidR="002200F1" w:rsidRPr="003252EC" w:rsidRDefault="002200F1" w:rsidP="003252EC">
      <w:pPr>
        <w:pStyle w:val="ListParagraph"/>
        <w:numPr>
          <w:ilvl w:val="0"/>
          <w:numId w:val="4"/>
        </w:numPr>
        <w:tabs>
          <w:tab w:val="right" w:pos="4620"/>
        </w:tabs>
        <w:spacing w:line="288" w:lineRule="exact"/>
        <w:rPr>
          <w:rFonts w:ascii="Narkisim" w:hAnsi="Narkisim"/>
        </w:rPr>
      </w:pPr>
      <w:r w:rsidRPr="003252EC">
        <w:rPr>
          <w:rFonts w:ascii="Narkisim" w:hAnsi="Narkisim"/>
          <w:rtl/>
        </w:rPr>
        <w:t>גיור – אי קבלת גרים על סמך היעדר הסכמה למצווה אחת בודדת, כמובן יוצרת אתגרים רבים ביחס לעובדה שישנו חלק משמעותי באוכלוסייה אשר יהדותו מוטלת בספק לאור קביעה הלכתית זו.</w:t>
      </w:r>
    </w:p>
    <w:p w:rsidR="002200F1" w:rsidRPr="00D77585" w:rsidRDefault="002200F1" w:rsidP="003252EC">
      <w:pPr>
        <w:pStyle w:val="ListParagraph"/>
        <w:numPr>
          <w:ilvl w:val="0"/>
          <w:numId w:val="4"/>
        </w:numPr>
        <w:tabs>
          <w:tab w:val="right" w:pos="4620"/>
        </w:tabs>
        <w:spacing w:line="288" w:lineRule="exact"/>
        <w:ind w:left="714" w:hanging="357"/>
        <w:rPr>
          <w:rFonts w:ascii="Narkisim" w:hAnsi="Narkisim"/>
          <w:rtl/>
        </w:rPr>
      </w:pPr>
      <w:r w:rsidRPr="00D77585">
        <w:rPr>
          <w:rFonts w:ascii="Narkisim" w:hAnsi="Narkisim"/>
          <w:rtl/>
        </w:rPr>
        <w:t xml:space="preserve">שבת – בתחום זה ניקח דוגמא ספציפית: אבטחה של מפעלי </w:t>
      </w:r>
      <w:r>
        <w:rPr>
          <w:rFonts w:ascii="Narkisim" w:hAnsi="Narkisim" w:hint="cs"/>
          <w:rtl/>
        </w:rPr>
        <w:t>טכנולוגיה עילית ("</w:t>
      </w:r>
      <w:r w:rsidRPr="00D77585">
        <w:rPr>
          <w:rFonts w:ascii="Narkisim" w:hAnsi="Narkisim"/>
          <w:rtl/>
        </w:rPr>
        <w:t>היי-טק</w:t>
      </w:r>
      <w:r>
        <w:rPr>
          <w:rFonts w:ascii="Narkisim" w:hAnsi="Narkisim" w:hint="cs"/>
          <w:rtl/>
        </w:rPr>
        <w:t>")</w:t>
      </w:r>
      <w:r w:rsidRPr="00D77585">
        <w:rPr>
          <w:rFonts w:ascii="Narkisim" w:hAnsi="Narkisim"/>
          <w:rtl/>
        </w:rPr>
        <w:t xml:space="preserve"> היא כמובן פעולה שאין בה חשש פיקוח נפש, אבל איך אפשר לדמיין מדינה שבה מפעלים שכאלה נתונים לחשש פריצה?! מדינת ישראל אינה יכול להרשות לעצמה זלזול בתחום זה, שיכול לגרום בעקיפה לקריסה ופגיעה משמעותיות ביותר.</w:t>
      </w:r>
    </w:p>
    <w:p w:rsidR="002200F1" w:rsidRPr="006168D4" w:rsidRDefault="002200F1" w:rsidP="002200F1">
      <w:pPr>
        <w:tabs>
          <w:tab w:val="right" w:pos="4620"/>
        </w:tabs>
        <w:autoSpaceDE/>
        <w:autoSpaceDN/>
        <w:spacing w:line="288" w:lineRule="exact"/>
        <w:rPr>
          <w:rFonts w:ascii="Arial" w:hAnsi="Arial"/>
          <w:sz w:val="24"/>
          <w:rtl/>
        </w:rPr>
      </w:pPr>
      <w:r w:rsidRPr="006168D4">
        <w:rPr>
          <w:rFonts w:ascii="Arial" w:hAnsi="Arial"/>
          <w:sz w:val="24"/>
          <w:rtl/>
        </w:rPr>
        <w:t>שני אנשים חכמים, עם אחד אני מסכים לגמרי ועם רעהו כלל לא – הרב גורן וישעיהו ליבוביץ' – הצליחו בעבר לנסח הבנה זו: הלכה של גלות במציאות של מדינה אינה אפשרית, ועל הציבור היושב כאן מוטלת האחריות לנסח הלכה מתאימה וחדשה שתוכל לאפשר קיום למדינה יהודית.</w:t>
      </w:r>
    </w:p>
    <w:p w:rsidR="002200F1" w:rsidRDefault="002200F1" w:rsidP="002200F1">
      <w:pPr>
        <w:tabs>
          <w:tab w:val="right" w:pos="4620"/>
        </w:tabs>
        <w:autoSpaceDE/>
        <w:autoSpaceDN/>
        <w:spacing w:line="288" w:lineRule="exact"/>
        <w:rPr>
          <w:rFonts w:ascii="Arial" w:hAnsi="Arial"/>
          <w:sz w:val="24"/>
          <w:rtl/>
        </w:rPr>
      </w:pPr>
      <w:r>
        <w:rPr>
          <w:rFonts w:ascii="Arial" w:hAnsi="Arial" w:hint="cs"/>
          <w:sz w:val="24"/>
          <w:rtl/>
        </w:rPr>
        <w:t>בתחילת זמן קיץ אנו מציינים את שבת השבו</w:t>
      </w:r>
      <w:r w:rsidR="003252EC">
        <w:rPr>
          <w:rFonts w:ascii="Arial" w:hAnsi="Arial" w:hint="cs"/>
          <w:sz w:val="24"/>
          <w:rtl/>
        </w:rPr>
        <w:t>"</w:t>
      </w:r>
      <w:r>
        <w:rPr>
          <w:rFonts w:ascii="Arial" w:hAnsi="Arial" w:hint="cs"/>
          <w:sz w:val="24"/>
          <w:rtl/>
        </w:rPr>
        <w:t xml:space="preserve">שים, השבת שבה מגיע </w:t>
      </w:r>
      <w:r w:rsidRPr="006168D4">
        <w:rPr>
          <w:rFonts w:ascii="Arial" w:hAnsi="Arial"/>
          <w:sz w:val="24"/>
          <w:rtl/>
        </w:rPr>
        <w:t>אלינו הדור החדש שעליו מוטלת אחריות זו. הדור הקודם התחיל במלאכת קילוף הצבע הישן, והדור הבא אמור למנף עשייה זו ולהצליח בה, להביא גדולי תורה שיהיו רגישים ויבינו את הצרכים ההלכתיים של מדינה.</w:t>
      </w:r>
    </w:p>
    <w:p w:rsidR="002200F1" w:rsidRPr="007769B1" w:rsidRDefault="002200F1" w:rsidP="002200F1">
      <w:pPr>
        <w:tabs>
          <w:tab w:val="right" w:pos="4620"/>
        </w:tabs>
        <w:autoSpaceDE/>
        <w:autoSpaceDN/>
        <w:spacing w:line="288" w:lineRule="exact"/>
        <w:rPr>
          <w:rFonts w:ascii="Arial" w:hAnsi="Arial"/>
          <w:sz w:val="24"/>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2200F1" w:rsidTr="000D5BF1">
        <w:trPr>
          <w:cantSplit/>
        </w:trPr>
        <w:tc>
          <w:tcPr>
            <w:tcW w:w="283" w:type="dxa"/>
            <w:tcBorders>
              <w:top w:val="nil"/>
              <w:left w:val="nil"/>
              <w:bottom w:val="nil"/>
              <w:right w:val="nil"/>
            </w:tcBorders>
          </w:tcPr>
          <w:p w:rsidR="002200F1" w:rsidRDefault="002200F1" w:rsidP="000D5BF1">
            <w:pPr>
              <w:pStyle w:val="a0"/>
              <w:rPr>
                <w:noProof w:val="0"/>
              </w:rPr>
            </w:pPr>
          </w:p>
        </w:tc>
        <w:tc>
          <w:tcPr>
            <w:tcW w:w="4111" w:type="dxa"/>
            <w:tcBorders>
              <w:top w:val="nil"/>
              <w:left w:val="nil"/>
              <w:bottom w:val="nil"/>
              <w:right w:val="nil"/>
            </w:tcBorders>
          </w:tcPr>
          <w:p w:rsidR="002200F1" w:rsidRDefault="002200F1" w:rsidP="000D5BF1">
            <w:pPr>
              <w:pStyle w:val="a0"/>
              <w:rPr>
                <w:noProof w:val="0"/>
              </w:rPr>
            </w:pPr>
          </w:p>
        </w:tc>
        <w:tc>
          <w:tcPr>
            <w:tcW w:w="284" w:type="dxa"/>
            <w:tcBorders>
              <w:top w:val="nil"/>
              <w:left w:val="nil"/>
              <w:bottom w:val="nil"/>
              <w:right w:val="nil"/>
            </w:tcBorders>
          </w:tcPr>
          <w:p w:rsidR="002200F1" w:rsidRDefault="002200F1" w:rsidP="000D5BF1">
            <w:pPr>
              <w:pStyle w:val="a0"/>
              <w:rPr>
                <w:noProof w:val="0"/>
              </w:rPr>
            </w:pPr>
          </w:p>
        </w:tc>
      </w:tr>
      <w:tr w:rsidR="002200F1" w:rsidTr="000D5BF1">
        <w:trPr>
          <w:cantSplit/>
        </w:trPr>
        <w:tc>
          <w:tcPr>
            <w:tcW w:w="283" w:type="dxa"/>
            <w:tcBorders>
              <w:top w:val="nil"/>
              <w:left w:val="nil"/>
              <w:bottom w:val="nil"/>
              <w:right w:val="nil"/>
            </w:tcBorders>
          </w:tcPr>
          <w:p w:rsidR="002200F1" w:rsidRDefault="002200F1" w:rsidP="000D5BF1">
            <w:pPr>
              <w:pStyle w:val="a0"/>
              <w:rPr>
                <w:noProof w:val="0"/>
              </w:rPr>
            </w:pPr>
          </w:p>
        </w:tc>
        <w:tc>
          <w:tcPr>
            <w:tcW w:w="4111" w:type="dxa"/>
            <w:tcBorders>
              <w:top w:val="nil"/>
              <w:left w:val="nil"/>
              <w:bottom w:val="nil"/>
              <w:right w:val="nil"/>
            </w:tcBorders>
          </w:tcPr>
          <w:p w:rsidR="002200F1" w:rsidRDefault="002200F1" w:rsidP="000D5BF1">
            <w:pPr>
              <w:pStyle w:val="a0"/>
              <w:rPr>
                <w:noProof w:val="0"/>
              </w:rPr>
            </w:pPr>
          </w:p>
        </w:tc>
        <w:tc>
          <w:tcPr>
            <w:tcW w:w="284" w:type="dxa"/>
            <w:tcBorders>
              <w:top w:val="nil"/>
              <w:left w:val="nil"/>
              <w:bottom w:val="nil"/>
              <w:right w:val="nil"/>
            </w:tcBorders>
          </w:tcPr>
          <w:p w:rsidR="002200F1" w:rsidRDefault="002200F1" w:rsidP="000D5BF1">
            <w:pPr>
              <w:pStyle w:val="a0"/>
              <w:rPr>
                <w:noProof w:val="0"/>
              </w:rPr>
            </w:pPr>
          </w:p>
        </w:tc>
      </w:tr>
      <w:bookmarkEnd w:id="1"/>
    </w:tbl>
    <w:p w:rsidR="002200F1" w:rsidRDefault="002200F1"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p w:rsidR="003252EC" w:rsidRDefault="003252EC" w:rsidP="002200F1">
      <w:pPr>
        <w:rPr>
          <w:sz w:val="21"/>
          <w:rtl/>
        </w:rPr>
      </w:pPr>
    </w:p>
    <w:tbl>
      <w:tblPr>
        <w:tblpPr w:leftFromText="180" w:rightFromText="180" w:vertAnchor="text" w:horzAnchor="margin" w:tblpY="8475"/>
        <w:bidiVisual/>
        <w:tblW w:w="4678" w:type="dxa"/>
        <w:tblLayout w:type="fixed"/>
        <w:tblLook w:val="0000" w:firstRow="0" w:lastRow="0" w:firstColumn="0" w:lastColumn="0" w:noHBand="0" w:noVBand="0"/>
      </w:tblPr>
      <w:tblGrid>
        <w:gridCol w:w="283"/>
        <w:gridCol w:w="4111"/>
        <w:gridCol w:w="284"/>
      </w:tblGrid>
      <w:tr w:rsidR="003252EC" w:rsidRPr="003A79B4" w:rsidTr="00360962">
        <w:tc>
          <w:tcPr>
            <w:tcW w:w="283" w:type="dxa"/>
            <w:tcBorders>
              <w:top w:val="nil"/>
              <w:left w:val="nil"/>
              <w:bottom w:val="nil"/>
              <w:right w:val="nil"/>
            </w:tcBorders>
          </w:tcPr>
          <w:p w:rsidR="003252EC" w:rsidRPr="003A79B4" w:rsidRDefault="003252EC" w:rsidP="00360962">
            <w:pPr>
              <w:pStyle w:val="a0"/>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3252EC" w:rsidRPr="003A79B4" w:rsidRDefault="003252EC" w:rsidP="00360962">
            <w:pPr>
              <w:pStyle w:val="a0"/>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3252EC" w:rsidRPr="003A79B4" w:rsidRDefault="003252EC" w:rsidP="00360962">
            <w:pPr>
              <w:pStyle w:val="a0"/>
              <w:rPr>
                <w:rFonts w:ascii="Narkisim" w:hAnsi="Narkisim"/>
                <w:noProof w:val="0"/>
              </w:rPr>
            </w:pPr>
            <w:r w:rsidRPr="003A79B4">
              <w:rPr>
                <w:rFonts w:ascii="Narkisim" w:hAnsi="Narkisim"/>
                <w:noProof w:val="0"/>
                <w:rtl/>
              </w:rPr>
              <w:t>*</w:t>
            </w:r>
          </w:p>
        </w:tc>
      </w:tr>
      <w:tr w:rsidR="003252EC" w:rsidRPr="003A79B4" w:rsidTr="00360962">
        <w:tc>
          <w:tcPr>
            <w:tcW w:w="283" w:type="dxa"/>
            <w:tcBorders>
              <w:top w:val="nil"/>
              <w:left w:val="nil"/>
              <w:bottom w:val="nil"/>
              <w:right w:val="nil"/>
            </w:tcBorders>
          </w:tcPr>
          <w:p w:rsidR="003252EC" w:rsidRPr="003A79B4" w:rsidRDefault="003252EC" w:rsidP="00360962">
            <w:pPr>
              <w:pStyle w:val="a0"/>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3252EC" w:rsidRPr="003A79B4" w:rsidRDefault="003252EC" w:rsidP="00360962">
            <w:pPr>
              <w:pStyle w:val="a0"/>
              <w:spacing w:line="276" w:lineRule="auto"/>
              <w:rPr>
                <w:rFonts w:ascii="Narkisim" w:hAnsi="Narkisim"/>
                <w:noProof w:val="0"/>
                <w:rtl/>
              </w:rPr>
            </w:pPr>
            <w:r w:rsidRPr="003A79B4">
              <w:rPr>
                <w:rFonts w:ascii="Narkisim" w:hAnsi="Narkisim"/>
                <w:noProof w:val="0"/>
                <w:rtl/>
              </w:rPr>
              <w:t>כל הזכויו</w:t>
            </w:r>
            <w:r w:rsidR="0089293E">
              <w:rPr>
                <w:rFonts w:ascii="Narkisim" w:hAnsi="Narkisim"/>
                <w:noProof w:val="0"/>
                <w:rtl/>
              </w:rPr>
              <w:t>ת שמורות לישיבת הר עציון ולרב י</w:t>
            </w:r>
            <w:r w:rsidR="0089293E">
              <w:rPr>
                <w:rFonts w:ascii="Narkisim" w:hAnsi="Narkisim" w:hint="cs"/>
                <w:noProof w:val="0"/>
                <w:rtl/>
              </w:rPr>
              <w:t>עקב מדן</w:t>
            </w:r>
          </w:p>
          <w:p w:rsidR="003252EC" w:rsidRPr="003A79B4" w:rsidRDefault="003252EC" w:rsidP="00360962">
            <w:pPr>
              <w:pStyle w:val="a0"/>
              <w:spacing w:line="276" w:lineRule="auto"/>
              <w:rPr>
                <w:rFonts w:ascii="Narkisim" w:hAnsi="Narkisim"/>
                <w:noProof w:val="0"/>
                <w:rtl/>
              </w:rPr>
            </w:pPr>
            <w:r w:rsidRPr="003A79B4">
              <w:rPr>
                <w:rFonts w:ascii="Narkisim" w:hAnsi="Narkisim"/>
                <w:noProof w:val="0"/>
                <w:rtl/>
              </w:rPr>
              <w:t>עורך: אלישע אורון, תשע"ז</w:t>
            </w:r>
          </w:p>
          <w:p w:rsidR="003252EC" w:rsidRPr="003A79B4" w:rsidRDefault="003252EC" w:rsidP="00360962">
            <w:pPr>
              <w:pStyle w:val="a0"/>
              <w:rPr>
                <w:rFonts w:ascii="Narkisim" w:hAnsi="Narkisim"/>
                <w:noProof w:val="0"/>
                <w:rtl/>
              </w:rPr>
            </w:pPr>
            <w:r w:rsidRPr="003A79B4">
              <w:rPr>
                <w:rFonts w:ascii="Narkisim" w:hAnsi="Narkisim"/>
                <w:noProof w:val="0"/>
                <w:rtl/>
              </w:rPr>
              <w:t>*******************************************************</w:t>
            </w:r>
          </w:p>
          <w:p w:rsidR="003252EC" w:rsidRPr="003A79B4" w:rsidRDefault="003252EC" w:rsidP="00360962">
            <w:pPr>
              <w:pStyle w:val="a0"/>
              <w:rPr>
                <w:rFonts w:ascii="Narkisim" w:hAnsi="Narkisim"/>
                <w:noProof w:val="0"/>
                <w:rtl/>
              </w:rPr>
            </w:pPr>
          </w:p>
          <w:p w:rsidR="003252EC" w:rsidRPr="003A79B4" w:rsidRDefault="003252EC" w:rsidP="00360962">
            <w:pPr>
              <w:pStyle w:val="a0"/>
              <w:rPr>
                <w:rFonts w:ascii="Narkisim" w:hAnsi="Narkisim"/>
                <w:noProof w:val="0"/>
                <w:rtl/>
              </w:rPr>
            </w:pPr>
            <w:r w:rsidRPr="003A79B4">
              <w:rPr>
                <w:rFonts w:ascii="Narkisim" w:hAnsi="Narkisim"/>
                <w:noProof w:val="0"/>
                <w:rtl/>
              </w:rPr>
              <w:t>בית המדרש הוירטואלי שליד ישיבת הר עציון</w:t>
            </w:r>
          </w:p>
          <w:p w:rsidR="003252EC" w:rsidRPr="003A79B4" w:rsidRDefault="003252EC" w:rsidP="00360962">
            <w:pPr>
              <w:pStyle w:val="a0"/>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7" w:history="1">
              <w:r w:rsidRPr="003A79B4">
                <w:rPr>
                  <w:rStyle w:val="Hyperlink"/>
                </w:rPr>
                <w:t>http://www.etzion.org.il/vbm</w:t>
              </w:r>
            </w:hyperlink>
          </w:p>
          <w:p w:rsidR="003252EC" w:rsidRPr="003A79B4" w:rsidRDefault="003252EC" w:rsidP="00360962">
            <w:pPr>
              <w:pStyle w:val="a0"/>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8" w:history="1">
              <w:r w:rsidRPr="003A79B4">
                <w:rPr>
                  <w:rStyle w:val="Hyperlink"/>
                </w:rPr>
                <w:t>http://www.vbm-torah.org</w:t>
              </w:r>
            </w:hyperlink>
          </w:p>
          <w:p w:rsidR="003252EC" w:rsidRPr="003A79B4" w:rsidRDefault="003252EC" w:rsidP="00360962">
            <w:pPr>
              <w:pStyle w:val="a0"/>
              <w:rPr>
                <w:rFonts w:ascii="Narkisim" w:hAnsi="Narkisim"/>
                <w:noProof w:val="0"/>
                <w:rtl/>
              </w:rPr>
            </w:pPr>
          </w:p>
          <w:p w:rsidR="003252EC" w:rsidRPr="003A79B4" w:rsidRDefault="003252EC" w:rsidP="00360962">
            <w:pPr>
              <w:pStyle w:val="a0"/>
              <w:rPr>
                <w:rFonts w:ascii="Narkisim" w:hAnsi="Narkisim"/>
                <w:noProof w:val="0"/>
                <w:rtl/>
              </w:rPr>
            </w:pPr>
            <w:r w:rsidRPr="003A79B4">
              <w:rPr>
                <w:rFonts w:ascii="Narkisim" w:hAnsi="Narkisim"/>
                <w:noProof w:val="0"/>
                <w:rtl/>
              </w:rPr>
              <w:t xml:space="preserve">משרדי בית המדרש הוירטואלי: 02-9937300 שלוחה 5 </w:t>
            </w:r>
          </w:p>
          <w:p w:rsidR="003252EC" w:rsidRPr="003A79B4" w:rsidRDefault="003252EC" w:rsidP="00360962">
            <w:pPr>
              <w:pStyle w:val="a0"/>
              <w:rPr>
                <w:rFonts w:ascii="Narkisim" w:hAnsi="Narkisim"/>
                <w:noProof w:val="0"/>
              </w:rPr>
            </w:pPr>
            <w:r w:rsidRPr="003A79B4">
              <w:rPr>
                <w:rFonts w:ascii="Narkisim" w:hAnsi="Narkisim"/>
                <w:noProof w:val="0"/>
                <w:rtl/>
              </w:rPr>
              <w:t xml:space="preserve">דואל: </w:t>
            </w:r>
            <w:hyperlink r:id="rId9" w:history="1">
              <w:r w:rsidRPr="003A79B4">
                <w:rPr>
                  <w:rStyle w:val="Hyperlink"/>
                </w:rPr>
                <w:t>office@etzion.org.il</w:t>
              </w:r>
            </w:hyperlink>
          </w:p>
        </w:tc>
        <w:tc>
          <w:tcPr>
            <w:tcW w:w="284" w:type="dxa"/>
            <w:tcBorders>
              <w:top w:val="nil"/>
              <w:left w:val="nil"/>
              <w:bottom w:val="nil"/>
              <w:right w:val="nil"/>
            </w:tcBorders>
          </w:tcPr>
          <w:p w:rsidR="003252EC" w:rsidRPr="003A79B4" w:rsidRDefault="003252EC" w:rsidP="00360962">
            <w:pPr>
              <w:pStyle w:val="a0"/>
              <w:rPr>
                <w:rFonts w:ascii="Narkisim" w:hAnsi="Narkisim"/>
                <w:noProof w:val="0"/>
              </w:rPr>
            </w:pPr>
            <w:r w:rsidRPr="003A79B4">
              <w:rPr>
                <w:rFonts w:ascii="Narkisim" w:hAnsi="Narkisim"/>
                <w:noProof w:val="0"/>
                <w:rtl/>
              </w:rPr>
              <w:t xml:space="preserve">* * * * * * * * * * </w:t>
            </w:r>
          </w:p>
        </w:tc>
      </w:tr>
      <w:tr w:rsidR="003252EC" w:rsidRPr="003A79B4" w:rsidTr="00360962">
        <w:tc>
          <w:tcPr>
            <w:tcW w:w="283" w:type="dxa"/>
            <w:tcBorders>
              <w:top w:val="nil"/>
              <w:left w:val="nil"/>
              <w:bottom w:val="nil"/>
              <w:right w:val="nil"/>
            </w:tcBorders>
          </w:tcPr>
          <w:p w:rsidR="003252EC" w:rsidRPr="003A79B4" w:rsidRDefault="003252EC" w:rsidP="00360962">
            <w:pPr>
              <w:pStyle w:val="a0"/>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3252EC" w:rsidRPr="003A79B4" w:rsidRDefault="003252EC" w:rsidP="00360962">
            <w:pPr>
              <w:pStyle w:val="a0"/>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3252EC" w:rsidRPr="003A79B4" w:rsidRDefault="003252EC" w:rsidP="00360962">
            <w:pPr>
              <w:pStyle w:val="a0"/>
              <w:rPr>
                <w:rFonts w:ascii="Narkisim" w:hAnsi="Narkisim"/>
                <w:noProof w:val="0"/>
                <w:rtl/>
              </w:rPr>
            </w:pPr>
            <w:r w:rsidRPr="003A79B4">
              <w:rPr>
                <w:rFonts w:ascii="Narkisim" w:hAnsi="Narkisim"/>
                <w:noProof w:val="0"/>
                <w:rtl/>
              </w:rPr>
              <w:t>*</w:t>
            </w:r>
          </w:p>
        </w:tc>
      </w:tr>
    </w:tbl>
    <w:p w:rsidR="003252EC" w:rsidRDefault="003252EC" w:rsidP="002200F1">
      <w:pPr>
        <w:rPr>
          <w:sz w:val="21"/>
          <w:rtl/>
        </w:rPr>
      </w:pPr>
    </w:p>
    <w:p w:rsidR="00CC65E6" w:rsidRPr="002200F1" w:rsidRDefault="00CC65E6" w:rsidP="002200F1">
      <w:pPr>
        <w:rPr>
          <w:szCs w:val="20"/>
          <w:rtl/>
        </w:rPr>
      </w:pPr>
    </w:p>
    <w:sectPr w:rsidR="00CC65E6" w:rsidRPr="002200F1" w:rsidSect="005F7985">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19" w:rsidRDefault="00446319" w:rsidP="005F7985">
      <w:pPr>
        <w:spacing w:after="0" w:line="240" w:lineRule="auto"/>
      </w:pPr>
      <w:r>
        <w:separator/>
      </w:r>
    </w:p>
  </w:endnote>
  <w:endnote w:type="continuationSeparator" w:id="0">
    <w:p w:rsidR="00446319" w:rsidRDefault="00446319"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19" w:rsidRDefault="00446319" w:rsidP="005F7985">
      <w:pPr>
        <w:spacing w:after="0" w:line="240" w:lineRule="auto"/>
      </w:pPr>
      <w:r>
        <w:separator/>
      </w:r>
    </w:p>
  </w:footnote>
  <w:footnote w:type="continuationSeparator" w:id="0">
    <w:p w:rsidR="00446319" w:rsidRDefault="00446319" w:rsidP="005F7985">
      <w:pPr>
        <w:spacing w:after="0" w:line="240" w:lineRule="auto"/>
      </w:pPr>
      <w:r>
        <w:continuationSeparator/>
      </w:r>
    </w:p>
  </w:footnote>
  <w:footnote w:id="1">
    <w:p w:rsidR="002200F1" w:rsidRPr="009A0FB2" w:rsidRDefault="002200F1" w:rsidP="002200F1">
      <w:pPr>
        <w:pStyle w:val="FootnoteText"/>
        <w:rPr>
          <w:rtl/>
        </w:rPr>
      </w:pPr>
      <w:r>
        <w:rPr>
          <w:rStyle w:val="FootnoteReference"/>
          <w:rFonts w:eastAsiaTheme="majorEastAsia"/>
          <w:rtl/>
        </w:rPr>
        <w:t>*</w:t>
      </w:r>
      <w:r w:rsidRPr="001C4E63">
        <w:rPr>
          <w:rFonts w:hint="cs"/>
          <w:rtl/>
        </w:rPr>
        <w:t xml:space="preserve"> </w:t>
      </w:r>
      <w:bookmarkStart w:id="2" w:name="_ftn1"/>
      <w:bookmarkEnd w:id="2"/>
      <w:r>
        <w:rPr>
          <w:rFonts w:hint="cs"/>
          <w:rtl/>
        </w:rPr>
        <w:tab/>
      </w:r>
      <w:r w:rsidRPr="00AA1481">
        <w:rPr>
          <w:rtl/>
        </w:rPr>
        <w:t xml:space="preserve">השיחה הועברה </w:t>
      </w:r>
      <w:r>
        <w:rPr>
          <w:rFonts w:hint="cs"/>
          <w:rtl/>
        </w:rPr>
        <w:t xml:space="preserve">בסעודה שלישית </w:t>
      </w:r>
      <w:r>
        <w:rPr>
          <w:rtl/>
        </w:rPr>
        <w:t xml:space="preserve">פרשת </w:t>
      </w:r>
      <w:r>
        <w:rPr>
          <w:rFonts w:hint="cs"/>
          <w:rtl/>
        </w:rPr>
        <w:t xml:space="preserve">אמור </w:t>
      </w:r>
      <w:r w:rsidRPr="00AA1481">
        <w:rPr>
          <w:rtl/>
        </w:rPr>
        <w:t>ה'תשע"</w:t>
      </w:r>
      <w:r>
        <w:rPr>
          <w:rFonts w:hint="cs"/>
          <w:rtl/>
        </w:rPr>
        <w:t>ד</w:t>
      </w:r>
      <w:r>
        <w:rPr>
          <w:rtl/>
        </w:rPr>
        <w:t xml:space="preserve">, </w:t>
      </w:r>
      <w:r w:rsidRPr="00AA1481">
        <w:rPr>
          <w:rtl/>
        </w:rPr>
        <w:t xml:space="preserve">סוכמה על ידי </w:t>
      </w:r>
      <w:r>
        <w:rPr>
          <w:rFonts w:hint="cs"/>
          <w:rtl/>
        </w:rPr>
        <w:t>בנימין פרנקל</w:t>
      </w:r>
      <w:r w:rsidR="0039707A">
        <w:rPr>
          <w:rFonts w:hint="cs"/>
          <w:rtl/>
        </w:rPr>
        <w:t xml:space="preserve"> ונערכה ע"י אלישע אורון</w:t>
      </w:r>
      <w:r w:rsidRPr="00AA1481">
        <w:rPr>
          <w:rtl/>
        </w:rPr>
        <w:t>. 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72" w:rsidRDefault="00A67BC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F5BB6">
      <w:rPr>
        <w:b/>
        <w:bCs/>
        <w:noProof/>
        <w:sz w:val="21"/>
        <w:rtl/>
      </w:rPr>
      <w:t>2</w:t>
    </w:r>
    <w:r>
      <w:rPr>
        <w:b/>
        <w:bCs/>
        <w:sz w:val="21"/>
        <w:rtl/>
      </w:rPr>
      <w:fldChar w:fldCharType="end"/>
    </w:r>
    <w:r>
      <w:rPr>
        <w:b/>
        <w:bCs/>
        <w:sz w:val="21"/>
        <w:rtl/>
      </w:rPr>
      <w:t xml:space="preserve"> -</w:t>
    </w:r>
  </w:p>
  <w:p w:rsidR="00C05872" w:rsidRDefault="004463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Header"/>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446319">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032CB"/>
    <w:rsid w:val="00111633"/>
    <w:rsid w:val="00117B74"/>
    <w:rsid w:val="00124BE4"/>
    <w:rsid w:val="00134C7B"/>
    <w:rsid w:val="00143837"/>
    <w:rsid w:val="001502DB"/>
    <w:rsid w:val="001A2419"/>
    <w:rsid w:val="001C0398"/>
    <w:rsid w:val="001C08DD"/>
    <w:rsid w:val="001F137C"/>
    <w:rsid w:val="002200F1"/>
    <w:rsid w:val="00231486"/>
    <w:rsid w:val="0026536C"/>
    <w:rsid w:val="00272817"/>
    <w:rsid w:val="002756E2"/>
    <w:rsid w:val="00277060"/>
    <w:rsid w:val="0028771E"/>
    <w:rsid w:val="002A394A"/>
    <w:rsid w:val="002B2816"/>
    <w:rsid w:val="002D3217"/>
    <w:rsid w:val="00315192"/>
    <w:rsid w:val="003252EC"/>
    <w:rsid w:val="0033127E"/>
    <w:rsid w:val="00345D27"/>
    <w:rsid w:val="00360962"/>
    <w:rsid w:val="00380328"/>
    <w:rsid w:val="0039707A"/>
    <w:rsid w:val="003D7721"/>
    <w:rsid w:val="003E768B"/>
    <w:rsid w:val="003F7890"/>
    <w:rsid w:val="00402C36"/>
    <w:rsid w:val="00420F26"/>
    <w:rsid w:val="00425BEB"/>
    <w:rsid w:val="004360C9"/>
    <w:rsid w:val="00446319"/>
    <w:rsid w:val="00455395"/>
    <w:rsid w:val="004829C8"/>
    <w:rsid w:val="00496F17"/>
    <w:rsid w:val="004D0239"/>
    <w:rsid w:val="005149C3"/>
    <w:rsid w:val="00520FA0"/>
    <w:rsid w:val="00543BFF"/>
    <w:rsid w:val="00544704"/>
    <w:rsid w:val="005647CD"/>
    <w:rsid w:val="005B76C2"/>
    <w:rsid w:val="005E44BA"/>
    <w:rsid w:val="005E51B5"/>
    <w:rsid w:val="005F7985"/>
    <w:rsid w:val="006064E4"/>
    <w:rsid w:val="0061649C"/>
    <w:rsid w:val="00617E24"/>
    <w:rsid w:val="006400C8"/>
    <w:rsid w:val="00683AD6"/>
    <w:rsid w:val="0069000C"/>
    <w:rsid w:val="006B1EF3"/>
    <w:rsid w:val="006B332C"/>
    <w:rsid w:val="006E5896"/>
    <w:rsid w:val="006F7C19"/>
    <w:rsid w:val="0070000E"/>
    <w:rsid w:val="00707A86"/>
    <w:rsid w:val="007176D1"/>
    <w:rsid w:val="0077090A"/>
    <w:rsid w:val="00773F69"/>
    <w:rsid w:val="00777CEF"/>
    <w:rsid w:val="007873C0"/>
    <w:rsid w:val="007A6AB1"/>
    <w:rsid w:val="007B0711"/>
    <w:rsid w:val="007B5488"/>
    <w:rsid w:val="007C46EE"/>
    <w:rsid w:val="007C5FA6"/>
    <w:rsid w:val="007E507C"/>
    <w:rsid w:val="007E7500"/>
    <w:rsid w:val="007F5BB6"/>
    <w:rsid w:val="00835345"/>
    <w:rsid w:val="0086008D"/>
    <w:rsid w:val="00865437"/>
    <w:rsid w:val="00870EB7"/>
    <w:rsid w:val="00871EF5"/>
    <w:rsid w:val="00875FBB"/>
    <w:rsid w:val="0087729D"/>
    <w:rsid w:val="0088360E"/>
    <w:rsid w:val="0089293E"/>
    <w:rsid w:val="008B3A6B"/>
    <w:rsid w:val="008C5B82"/>
    <w:rsid w:val="008D309C"/>
    <w:rsid w:val="009002A5"/>
    <w:rsid w:val="009120C5"/>
    <w:rsid w:val="009215D9"/>
    <w:rsid w:val="0093798A"/>
    <w:rsid w:val="009724A7"/>
    <w:rsid w:val="0098126F"/>
    <w:rsid w:val="009B70F2"/>
    <w:rsid w:val="009C6505"/>
    <w:rsid w:val="009C6C3A"/>
    <w:rsid w:val="009F1F91"/>
    <w:rsid w:val="009F301F"/>
    <w:rsid w:val="009F32DA"/>
    <w:rsid w:val="00A14F22"/>
    <w:rsid w:val="00A17CC0"/>
    <w:rsid w:val="00A67BCC"/>
    <w:rsid w:val="00AB2B0A"/>
    <w:rsid w:val="00AC4207"/>
    <w:rsid w:val="00AE1BD0"/>
    <w:rsid w:val="00B103A1"/>
    <w:rsid w:val="00B2236F"/>
    <w:rsid w:val="00B243F4"/>
    <w:rsid w:val="00B61029"/>
    <w:rsid w:val="00B65D5E"/>
    <w:rsid w:val="00B7243D"/>
    <w:rsid w:val="00B7507A"/>
    <w:rsid w:val="00B86A06"/>
    <w:rsid w:val="00BC7C5F"/>
    <w:rsid w:val="00BD32A3"/>
    <w:rsid w:val="00BD38AD"/>
    <w:rsid w:val="00BE1240"/>
    <w:rsid w:val="00BF0022"/>
    <w:rsid w:val="00C027E6"/>
    <w:rsid w:val="00C25383"/>
    <w:rsid w:val="00C416DD"/>
    <w:rsid w:val="00C77827"/>
    <w:rsid w:val="00CA3B41"/>
    <w:rsid w:val="00CB11E4"/>
    <w:rsid w:val="00CB73CC"/>
    <w:rsid w:val="00CC65E6"/>
    <w:rsid w:val="00CC778C"/>
    <w:rsid w:val="00CF363C"/>
    <w:rsid w:val="00D01D8C"/>
    <w:rsid w:val="00D606D4"/>
    <w:rsid w:val="00D70DEE"/>
    <w:rsid w:val="00D9066D"/>
    <w:rsid w:val="00DB0EBF"/>
    <w:rsid w:val="00DC24EA"/>
    <w:rsid w:val="00E43529"/>
    <w:rsid w:val="00E526E4"/>
    <w:rsid w:val="00E66D5D"/>
    <w:rsid w:val="00E82DA9"/>
    <w:rsid w:val="00EA205A"/>
    <w:rsid w:val="00EA261D"/>
    <w:rsid w:val="00EA3490"/>
    <w:rsid w:val="00EB5473"/>
    <w:rsid w:val="00EC4407"/>
    <w:rsid w:val="00ED4AE0"/>
    <w:rsid w:val="00F178AB"/>
    <w:rsid w:val="00F325DB"/>
    <w:rsid w:val="00F76507"/>
    <w:rsid w:val="00F868DF"/>
    <w:rsid w:val="00F95556"/>
    <w:rsid w:val="00F9705F"/>
    <w:rsid w:val="00FA5581"/>
    <w:rsid w:val="00FA6FE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7C19"/>
    <w:pPr>
      <w:autoSpaceDE w:val="0"/>
      <w:autoSpaceDN w:val="0"/>
      <w:bidi/>
      <w:spacing w:after="120" w:line="360"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F76507"/>
    <w:pPr>
      <w:keepNext/>
      <w:keepLines/>
      <w:autoSpaceDE/>
      <w:autoSpaceDN/>
      <w:spacing w:before="120"/>
      <w:jc w:val="center"/>
      <w:outlineLvl w:val="1"/>
    </w:pPr>
    <w:rPr>
      <w:rFonts w:asciiTheme="minorBidi" w:eastAsiaTheme="majorEastAsia" w:hAnsiTheme="minorBidi" w:cstheme="minorBidi"/>
      <w:bCs/>
      <w:sz w:val="26"/>
      <w:szCs w:val="26"/>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143837"/>
    <w:pPr>
      <w:spacing w:before="120"/>
      <w:jc w:val="right"/>
      <w:outlineLvl w:val="4"/>
    </w:pPr>
    <w:rPr>
      <w:rFonts w:ascii="Narkisim" w:hAnsi="Narkisim"/>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3252EC"/>
    <w:pPr>
      <w:autoSpaceDE/>
      <w:autoSpaceDN/>
      <w:ind w:left="794"/>
    </w:pPr>
    <w:rPr>
      <w:rFonts w:asciiTheme="minorHAnsi" w:hAnsiTheme="minorHAnsi"/>
      <w:sz w:val="22"/>
    </w:rPr>
  </w:style>
  <w:style w:type="paragraph" w:styleId="Quote">
    <w:name w:val="Quote"/>
    <w:basedOn w:val="Normal"/>
    <w:link w:val="QuoteChar"/>
    <w:autoRedefine/>
    <w:qFormat/>
    <w:rsid w:val="00143837"/>
    <w:pPr>
      <w:tabs>
        <w:tab w:val="right" w:pos="4620"/>
      </w:tabs>
      <w:spacing w:before="120"/>
      <w:ind w:left="567"/>
    </w:pPr>
    <w:rPr>
      <w:rFonts w:asciiTheme="minorHAnsi" w:hAnsiTheme="minorHAnsi"/>
      <w:sz w:val="22"/>
    </w:rPr>
  </w:style>
  <w:style w:type="character" w:customStyle="1" w:styleId="QuoteChar">
    <w:name w:val="Quote Char"/>
    <w:link w:val="Quote"/>
    <w:rsid w:val="00143837"/>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F76507"/>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143837"/>
    <w:rPr>
      <w:rFonts w:ascii="Narkisim" w:hAnsi="Narkisim" w:cs="Narkisim"/>
      <w:sz w:val="20"/>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כות"/>
    <w:basedOn w:val="Normal"/>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Normal"/>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2">
    <w:name w:val="מחבר"/>
    <w:basedOn w:val="Normal"/>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3">
    <w:name w:val="כותרת"/>
    <w:basedOn w:val="Normal"/>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
    <w:name w:val="כותרת2"/>
    <w:basedOn w:val="a3"/>
    <w:uiPriority w:val="99"/>
    <w:rsid w:val="00FA5581"/>
    <w:pPr>
      <w:spacing w:after="60"/>
    </w:pPr>
    <w:rPr>
      <w:sz w:val="26"/>
      <w:szCs w:val="28"/>
    </w:rPr>
  </w:style>
  <w:style w:type="paragraph" w:customStyle="1" w:styleId="a4">
    <w:name w:val="גוש"/>
    <w:basedOn w:val="ListParagraph"/>
    <w:link w:val="a5"/>
    <w:autoRedefine/>
    <w:qFormat/>
    <w:rsid w:val="00124BE4"/>
    <w:pPr>
      <w:jc w:val="right"/>
    </w:pPr>
    <w:rPr>
      <w:szCs w:val="20"/>
    </w:rPr>
  </w:style>
  <w:style w:type="character" w:customStyle="1" w:styleId="ListParagraphChar">
    <w:name w:val="List Paragraph Char"/>
    <w:basedOn w:val="DefaultParagraphFont"/>
    <w:link w:val="ListParagraph"/>
    <w:uiPriority w:val="34"/>
    <w:rsid w:val="003252EC"/>
    <w:rPr>
      <w:rFonts w:cs="Narkisim"/>
      <w:szCs w:val="24"/>
    </w:rPr>
  </w:style>
  <w:style w:type="character" w:customStyle="1" w:styleId="a5">
    <w:name w:val="גוש תו"/>
    <w:basedOn w:val="ListParagraphChar"/>
    <w:link w:val="a4"/>
    <w:rsid w:val="00124BE4"/>
    <w:rPr>
      <w:rFonts w:cs="Narkisi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6666</Characters>
  <Application>Microsoft Office Word</Application>
  <DocSecurity>0</DocSecurity>
  <Lines>55</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aaron</cp:lastModifiedBy>
  <cp:revision>2</cp:revision>
  <dcterms:created xsi:type="dcterms:W3CDTF">2017-05-12T04:21:00Z</dcterms:created>
  <dcterms:modified xsi:type="dcterms:W3CDTF">2017-05-12T04:21:00Z</dcterms:modified>
</cp:coreProperties>
</file>