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2838">
      <w:pPr>
        <w:pStyle w:val="a5"/>
        <w:rPr>
          <w:rtl/>
        </w:rPr>
      </w:pPr>
      <w:bookmarkStart w:id="0" w:name="_GoBack"/>
      <w:bookmarkEnd w:id="0"/>
      <w:r>
        <w:rPr>
          <w:rtl/>
        </w:rPr>
        <w:t>ישיבת הר עציון (בית המדרש הווירטואלי)</w:t>
      </w:r>
    </w:p>
    <w:p w:rsidR="00000000" w:rsidRDefault="00DC2838">
      <w:pPr>
        <w:pStyle w:val="a5"/>
        <w:rPr>
          <w:rtl/>
        </w:rPr>
      </w:pPr>
      <w:r>
        <w:rPr>
          <w:rtl/>
        </w:rPr>
        <w:t>*****************************************</w:t>
      </w:r>
    </w:p>
    <w:p w:rsidR="00000000" w:rsidRDefault="00DC2838">
      <w:pPr>
        <w:pStyle w:val="a5"/>
        <w:rPr>
          <w:rtl/>
        </w:rPr>
      </w:pPr>
      <w:r>
        <w:rPr>
          <w:rtl/>
        </w:rPr>
        <w:t>שיחות ראשי הישיבה</w:t>
      </w:r>
    </w:p>
    <w:p w:rsidR="00000000" w:rsidRDefault="00DC2838">
      <w:pPr>
        <w:pStyle w:val="a5"/>
        <w:rPr>
          <w:rtl/>
        </w:rPr>
      </w:pPr>
      <w:r>
        <w:rPr>
          <w:rtl/>
        </w:rPr>
        <w:t>********************</w:t>
      </w:r>
    </w:p>
    <w:p w:rsidR="00000000" w:rsidRDefault="00DC2838">
      <w:pPr>
        <w:pStyle w:val="a0"/>
        <w:rPr>
          <w:rtl/>
        </w:rPr>
      </w:pPr>
      <w:r>
        <w:rPr>
          <w:rtl/>
        </w:rPr>
        <w:t>נמשלה התורה לאש ולמים</w:t>
      </w:r>
    </w:p>
    <w:p w:rsidR="00000000" w:rsidRDefault="00DC2838">
      <w:pPr>
        <w:pStyle w:val="a1"/>
        <w:rPr>
          <w:sz w:val="18"/>
          <w:szCs w:val="22"/>
          <w:rtl/>
        </w:rPr>
      </w:pPr>
      <w:r>
        <w:rPr>
          <w:rtl/>
        </w:rPr>
        <w:t>שיחה לחג השבועות</w:t>
      </w:r>
    </w:p>
    <w:p w:rsidR="00000000" w:rsidRDefault="00DC2838">
      <w:pPr>
        <w:pStyle w:val="a2"/>
        <w:spacing w:after="0"/>
        <w:rPr>
          <w:rtl/>
        </w:rPr>
      </w:pPr>
      <w:r>
        <w:rPr>
          <w:rtl/>
        </w:rPr>
        <w:t>מאת הרב אהרן ל</w:t>
      </w:r>
      <w:r>
        <w:rPr>
          <w:rtl/>
        </w:rPr>
        <w:t>יכטנשטיין שליט"א</w:t>
      </w:r>
      <w:r>
        <w:rPr>
          <w:rStyle w:val="FootnoteReference"/>
          <w:b w:val="0"/>
          <w:bCs w:val="0"/>
          <w:rtl/>
        </w:rPr>
        <w:footnoteReference w:customMarkFollows="1" w:id="1"/>
        <w:t>*</w:t>
      </w:r>
    </w:p>
    <w:p w:rsidR="00000000" w:rsidRDefault="00DC2838">
      <w:pPr>
        <w:pStyle w:val="a4"/>
        <w:spacing w:line="270" w:lineRule="exact"/>
        <w:ind w:left="284" w:right="0"/>
        <w:rPr>
          <w:rtl/>
        </w:rPr>
      </w:pPr>
      <w:r>
        <w:rPr>
          <w:rtl/>
        </w:rPr>
        <w:t>"כל ישראל יש להם חלק לעולם הבא... ואלו שאין להם חלק לעולם הבא: האומר... אין תורה מן השמים".</w:t>
      </w:r>
      <w:r>
        <w:rPr>
          <w:rtl/>
        </w:rPr>
        <w:tab/>
      </w:r>
      <w:r>
        <w:rPr>
          <w:rtl/>
        </w:rPr>
        <w:br/>
      </w:r>
      <w:r>
        <w:rPr>
          <w:rtl/>
        </w:rPr>
        <w:tab/>
        <w:t>(משנה סנהדרין צ ע"א)</w:t>
      </w:r>
    </w:p>
    <w:p w:rsidR="00000000" w:rsidRDefault="00DC2838">
      <w:pPr>
        <w:pStyle w:val="a"/>
        <w:spacing w:line="270" w:lineRule="exact"/>
        <w:rPr>
          <w:rtl/>
        </w:rPr>
      </w:pPr>
      <w:r>
        <w:rPr>
          <w:rtl/>
        </w:rPr>
        <w:t>כאשר המשנה באה לאפיין</w:t>
      </w:r>
      <w:r>
        <w:rPr>
          <w:rtl/>
        </w:rPr>
        <w:t xml:space="preserve"> את התורה, היא קובעת שהכופר בהיותה "מן השמיים" - אין לו חלק לעולם הבא. בתחילת פרשת בראשית, מסביר רש"י את פשר המילה "שמיים":</w:t>
      </w:r>
    </w:p>
    <w:p w:rsidR="00000000" w:rsidRDefault="00DC2838">
      <w:pPr>
        <w:pStyle w:val="a4"/>
        <w:spacing w:line="270" w:lineRule="exact"/>
        <w:ind w:left="284" w:right="0"/>
        <w:rPr>
          <w:rtl/>
        </w:rPr>
      </w:pPr>
      <w:r>
        <w:rPr>
          <w:rtl/>
        </w:rPr>
        <w:t xml:space="preserve">"ויקרא א-להים לרקיע שמים - ... אש ומים שערבן זה בזה, ועשה מהם שמים". </w:t>
      </w:r>
      <w:r>
        <w:rPr>
          <w:rtl/>
        </w:rPr>
        <w:tab/>
        <w:t>(רש"י, בראשית א', ח)</w:t>
      </w:r>
    </w:p>
    <w:p w:rsidR="00000000" w:rsidRDefault="00DC2838">
      <w:pPr>
        <w:pStyle w:val="a"/>
        <w:spacing w:line="270" w:lineRule="exact"/>
        <w:rPr>
          <w:rtl/>
        </w:rPr>
      </w:pPr>
      <w:r>
        <w:rPr>
          <w:rtl/>
        </w:rPr>
        <w:t>כיוון שניתנה התורה מן השמיים, אף היא מכיל</w:t>
      </w:r>
      <w:r>
        <w:rPr>
          <w:rtl/>
        </w:rPr>
        <w:t xml:space="preserve">ה את אותם המוטיבים - של האש ושל המים - המשתלבים ומשתזרים בשמיים. בפרשת יתרו למדים אנחנו שהתורה ניתנה באש, ובספר שופטים אנו שומעים שהיא ניתנה אף במים: </w:t>
      </w:r>
    </w:p>
    <w:p w:rsidR="00000000" w:rsidRDefault="00DC2838">
      <w:pPr>
        <w:pStyle w:val="a4"/>
        <w:spacing w:line="270" w:lineRule="exact"/>
        <w:ind w:left="284" w:right="0"/>
        <w:rPr>
          <w:rtl/>
        </w:rPr>
      </w:pPr>
      <w:r>
        <w:rPr>
          <w:sz w:val="16"/>
          <w:szCs w:val="20"/>
          <w:rtl/>
        </w:rPr>
        <w:t>"ה' בצאתך משעיר בצעדך משדה אדום, ארץ רעשה גם שמים נטפו גם עבים נטפו מים. הרים נזלו מפני ה', זה סיני, מפני</w:t>
      </w:r>
      <w:r>
        <w:rPr>
          <w:sz w:val="16"/>
          <w:szCs w:val="20"/>
          <w:rtl/>
        </w:rPr>
        <w:t xml:space="preserve"> ה' א-להי ישראל".</w:t>
      </w:r>
      <w:r>
        <w:rPr>
          <w:sz w:val="16"/>
          <w:szCs w:val="20"/>
          <w:rtl/>
        </w:rPr>
        <w:tab/>
        <w:t>(שופטים ד', ד-ה)</w:t>
      </w:r>
    </w:p>
    <w:p w:rsidR="00000000" w:rsidRDefault="00DC2838">
      <w:pPr>
        <w:pStyle w:val="a"/>
        <w:spacing w:line="270" w:lineRule="exact"/>
        <w:rPr>
          <w:rtl/>
        </w:rPr>
      </w:pPr>
      <w:r>
        <w:rPr>
          <w:rtl/>
        </w:rPr>
        <w:t>מה מסמלים שני המוטיבים המנוגדים הללו?</w:t>
      </w:r>
    </w:p>
    <w:p w:rsidR="00000000" w:rsidRDefault="00DC2838">
      <w:pPr>
        <w:pStyle w:val="a"/>
        <w:spacing w:line="270" w:lineRule="exact"/>
        <w:rPr>
          <w:rtl/>
        </w:rPr>
      </w:pPr>
      <w:r>
        <w:rPr>
          <w:rtl/>
        </w:rPr>
        <w:t>המים מסמלים קמאיות. עוד בטרם הבריאה, ריחפה רוח אלוקים מעל המים. המים הם הצורך הבסיסי ביותר לאדם ולבריאה כולה, ולכן הם מסמלים טבעיות. אין טבעי יותר וקמאי יותר ממעיין המפכה במקום שלא שז</w:t>
      </w:r>
      <w:r>
        <w:rPr>
          <w:rtl/>
        </w:rPr>
        <w:t>פתו עין, ואדם לא דרך בו מעולם.</w:t>
      </w:r>
    </w:p>
    <w:p w:rsidR="00000000" w:rsidRDefault="00DC2838">
      <w:pPr>
        <w:pStyle w:val="a"/>
        <w:spacing w:line="270" w:lineRule="exact"/>
        <w:rPr>
          <w:rtl/>
        </w:rPr>
      </w:pPr>
      <w:r>
        <w:rPr>
          <w:rtl/>
        </w:rPr>
        <w:t>האש, לעומת המים, היא תוצר של הטכנולוגיה. האש מסמלת יצירה, חידוש ודינמיות. תגלית האש היא אחת מהמהפכות החשובות ביותר בתולדות האנושות, ומהווה תשתית לכל הטכנולוגיה שבאה אחריה. בניגוד למים, האופפים אותנו מכל עבר, האדם החפץ באש צרי</w:t>
      </w:r>
      <w:r>
        <w:rPr>
          <w:rtl/>
        </w:rPr>
        <w:t xml:space="preserve">ך לחפש ולחזר אחריה, ולעמול כדי ליצור אותה. </w:t>
      </w:r>
    </w:p>
    <w:p w:rsidR="00000000" w:rsidRDefault="00DC2838">
      <w:pPr>
        <w:pStyle w:val="a"/>
        <w:spacing w:line="270" w:lineRule="exact"/>
        <w:rPr>
          <w:rtl/>
        </w:rPr>
      </w:pPr>
      <w:r>
        <w:rPr>
          <w:rtl/>
        </w:rPr>
        <w:t>למרות ההבדלים הבולטים בין האש לבין המים, לשניהם יש מכנה משותף: אי-קבלת טומאה ויכולת טהרה. הגמרא בברכות (כב ע"א) קובעת שאש אינה מקבלת טומאה, והגמרא בסנהדרין (לט ע"א) כותבת שהיא אף מטהרת כמקווה: "עיקר טבילותא - בנו</w:t>
      </w:r>
      <w:r>
        <w:rPr>
          <w:rtl/>
        </w:rPr>
        <w:t xml:space="preserve">רא הוא". המים - כמובן - אף הם מטהרים, וכאשר הם מקובצים וקבועים במקווה - הם אינם מקבלים טומאה. </w:t>
      </w:r>
    </w:p>
    <w:p w:rsidR="00000000" w:rsidRDefault="00DC2838">
      <w:pPr>
        <w:pStyle w:val="a"/>
        <w:spacing w:line="270" w:lineRule="exact"/>
        <w:rPr>
          <w:rtl/>
        </w:rPr>
      </w:pPr>
      <w:r>
        <w:rPr>
          <w:rtl/>
        </w:rPr>
        <w:t>כשם שהתורה מכילה את יסודות האש והמים, כך היא מכילה גם את אותם היסודות שהאש והמים מסמלים. התורה קדמה לעולם, והעולם כולו לא נברא אלא בשביל התורה שנקראה ראשית. מכאן</w:t>
      </w:r>
      <w:r>
        <w:rPr>
          <w:rtl/>
        </w:rPr>
        <w:t xml:space="preserve"> - מימד הקמאיות הקיים בתורה, בדומה למים. מאידך, אי אפשר להתעלם מהמימד היצירתי, הדינמי והמתפתח המודגש מאוד בתורה ובלימוד התורה, בדומה לאש. הגמרא בחגיגה (ג ע"ב) מדמה את דברי התורה לנטיעות, שכן "מה נטיעה זו פרה ורבה - אף דברי תורה פרין ורבין". נוסף על כך, בדו</w:t>
      </w:r>
      <w:r>
        <w:rPr>
          <w:rtl/>
        </w:rPr>
        <w:t xml:space="preserve">מה לאש ולמים, התורה גם אינה מקבלת טומאה: "הלא כה דברי כאש נאם ה' - מה אש אינו מקבל טומאה, אף דברי </w:t>
      </w:r>
      <w:r>
        <w:rPr>
          <w:rtl/>
        </w:rPr>
        <w:t>תורה אינן מקבלין טומאה" (ברכות כב ע"א). בדומה לאש ולמים, התורה מטהרת ומקדשת את העוסקים בה.</w:t>
      </w:r>
    </w:p>
    <w:p w:rsidR="00000000" w:rsidRDefault="00DC2838">
      <w:pPr>
        <w:pStyle w:val="a"/>
        <w:spacing w:line="270" w:lineRule="exact"/>
        <w:rPr>
          <w:rtl/>
        </w:rPr>
      </w:pPr>
      <w:r>
        <w:rPr>
          <w:rtl/>
        </w:rPr>
        <w:t>ישנה נקודת דמיון נוספת בין התורה לבין האש והמים: הן האש והן המים מס</w:t>
      </w:r>
      <w:r>
        <w:rPr>
          <w:rtl/>
        </w:rPr>
        <w:t>וגלים להחריב ולהשחית, אך מסוגלים גם לבנות ולנטוע. בפרשת בראשית קוראים אנו על כוחם היצירתי של המים, המחיה את הדגים ואת עוף השמים; אולם בפרשה הבאה - בפרשת נח - למדים אנו שהמים יכולים אף להרוס, להביא מבול על הארץ ולהשחית כל בשר מעל פני האדמה. גם האש - בדומה ל</w:t>
      </w:r>
      <w:r>
        <w:rPr>
          <w:rtl/>
        </w:rPr>
        <w:t xml:space="preserve">מים - מכילה בתוכה פוטנציאל עצום של יצירה, בנייה וחידוש; אולם במקביל - מסוגלת גם לשרוף ולהשמיד, כשם שהשמידה את סדום ואת עמורה, והחריבה - אלפי שנים מאוחר יותר - את בית המקדש. </w:t>
      </w:r>
    </w:p>
    <w:p w:rsidR="00000000" w:rsidRDefault="00DC2838">
      <w:pPr>
        <w:pStyle w:val="a"/>
        <w:spacing w:line="270" w:lineRule="exact"/>
        <w:rPr>
          <w:rtl/>
        </w:rPr>
      </w:pPr>
      <w:r>
        <w:rPr>
          <w:rtl/>
        </w:rPr>
        <w:t>בדומה לאש ולמים, אף התורה יכולה להביא חיים לעולם, אך עלולה גם - ח"ו - להביא לחורבן</w:t>
      </w:r>
      <w:r>
        <w:rPr>
          <w:rtl/>
        </w:rPr>
        <w:t>:</w:t>
      </w:r>
    </w:p>
    <w:p w:rsidR="00000000" w:rsidRDefault="00DC2838">
      <w:pPr>
        <w:pStyle w:val="a4"/>
        <w:spacing w:line="270" w:lineRule="exact"/>
        <w:ind w:left="284" w:right="0"/>
        <w:rPr>
          <w:rtl/>
        </w:rPr>
      </w:pPr>
      <w:r>
        <w:rPr>
          <w:rtl/>
        </w:rPr>
        <w:t>"אמר רבי יהושע בן לוי: מאי דכתיב וזאת התורה אשר שם משה? זכה - נעשית לו סם חיים; לא זכה - נעשית לו סם מיתה".</w:t>
      </w:r>
      <w:r>
        <w:rPr>
          <w:rtl/>
        </w:rPr>
        <w:tab/>
      </w:r>
      <w:r>
        <w:rPr>
          <w:rtl/>
        </w:rPr>
        <w:br/>
      </w:r>
      <w:r>
        <w:rPr>
          <w:rtl/>
        </w:rPr>
        <w:tab/>
        <w:t>(יומא עב ע"ב)</w:t>
      </w:r>
    </w:p>
    <w:p w:rsidR="00000000" w:rsidRDefault="00DC2838">
      <w:pPr>
        <w:pStyle w:val="a"/>
        <w:spacing w:line="270" w:lineRule="exact"/>
        <w:rPr>
          <w:rtl/>
        </w:rPr>
      </w:pPr>
      <w:r>
        <w:rPr>
          <w:rtl/>
        </w:rPr>
        <w:t>ההבדל בין תורה שהיא סם חיים לבין תורה שהיא סם המוות היא הגישה שבה נוקט האדם כאשר הוא ניגש לתורה:</w:t>
      </w:r>
    </w:p>
    <w:p w:rsidR="00000000" w:rsidRDefault="00DC2838">
      <w:pPr>
        <w:pStyle w:val="a4"/>
        <w:spacing w:line="270" w:lineRule="exact"/>
        <w:ind w:left="284" w:right="0"/>
        <w:rPr>
          <w:rtl/>
        </w:rPr>
      </w:pPr>
      <w:r>
        <w:rPr>
          <w:rtl/>
        </w:rPr>
        <w:t>"תניא, היה ר' בנאה אומר: כל העוסק</w:t>
      </w:r>
      <w:r>
        <w:rPr>
          <w:rtl/>
        </w:rPr>
        <w:t xml:space="preserve"> בתורה לשמה - תורתו נעשית לו סם חיים, שנאמר עץ חיים היא למחזיקים בה... וכל העוסק בתורה שלא לשמה - נעשית לו סם המות, שנאמר יערף כמטר לקחי, ואין עריפה אלא הריגה...".</w:t>
      </w:r>
      <w:r>
        <w:rPr>
          <w:rtl/>
        </w:rPr>
        <w:tab/>
        <w:t>(חגיגה ז ע"א)</w:t>
      </w:r>
    </w:p>
    <w:p w:rsidR="00000000" w:rsidRDefault="00DC2838">
      <w:pPr>
        <w:pStyle w:val="a"/>
        <w:spacing w:line="270" w:lineRule="exact"/>
        <w:rPr>
          <w:rtl/>
        </w:rPr>
      </w:pPr>
      <w:r>
        <w:rPr>
          <w:rtl/>
        </w:rPr>
        <w:t>התורה מסוגלת לקדש את האדם, לטהרו ולרומם אותו לרמות רוחניות עצומות. אך הכל מותנ</w:t>
      </w:r>
      <w:r>
        <w:rPr>
          <w:rtl/>
        </w:rPr>
        <w:t xml:space="preserve">ה בגישה נכונה: אדם שאינו ניגש אל התורה ברגש של צימאון ושקיקה, מתוך רצון ללמוד תורה לשמה - עלולה התורה להיהפך לו, ח"ו, לסם המוות. אולם כאשר האדם נוקט בגישה הנכונה, ויודע ומפנים כי היא חיינו ואורך ימינו ובלעדיה אין כלל חיים - אזי נעשית לו התורה סם חיים. </w:t>
      </w:r>
    </w:p>
    <w:p w:rsidR="00000000" w:rsidRDefault="00DC2838">
      <w:pPr>
        <w:pStyle w:val="a"/>
        <w:spacing w:line="270" w:lineRule="exact"/>
        <w:rPr>
          <w:rtl/>
        </w:rPr>
      </w:pPr>
      <w:r>
        <w:rPr>
          <w:rtl/>
        </w:rPr>
        <w:t>לעת</w:t>
      </w:r>
      <w:r>
        <w:rPr>
          <w:rtl/>
        </w:rPr>
        <w:t>יד לבוא, מובטחים אנו שאף הגאולה העתידה תבוא בשילוב של אש ומים. הנביא יחזקאל מנבא על הנהר היוצא מאבן השתייה ומחיה את המדבר, וכמו כן יודעים אנו שכשם שהצית הקב"ה את ירושלים באש, עתיד הקב"ה גם לבנותה באש, שנאמר "ואני אהיה לה לחומת אש סביב, נאום ה'" - במהרה בימ</w:t>
      </w:r>
      <w:r>
        <w:rPr>
          <w:rtl/>
        </w:rPr>
        <w:t>ינו, אכי"ר.</w:t>
      </w:r>
    </w:p>
    <w:p w:rsidR="00000000" w:rsidRDefault="00DC2838">
      <w:pPr>
        <w:pStyle w:val="a"/>
        <w:rPr>
          <w:rtl/>
        </w:rPr>
      </w:pPr>
    </w:p>
    <w:p w:rsidR="00000000" w:rsidRDefault="00DC2838">
      <w:pPr>
        <w:pStyle w:val="a6"/>
        <w:rPr>
          <w:rStyle w:val="HebrewChar"/>
          <w:rtl/>
        </w:rPr>
      </w:pPr>
      <w:r>
        <w:rPr>
          <w:rStyle w:val="HebrewChar"/>
          <w:rtl/>
        </w:rPr>
        <w:t xml:space="preserve">כל הזכויות שמורות  2002  לישיבת הר עציון </w:t>
      </w:r>
    </w:p>
    <w:p w:rsidR="00000000" w:rsidRDefault="00DC2838">
      <w:pPr>
        <w:pStyle w:val="a6"/>
        <w:rPr>
          <w:rStyle w:val="HebrewChar"/>
          <w:rtl/>
        </w:rPr>
      </w:pPr>
      <w:r>
        <w:rPr>
          <w:rStyle w:val="HebrewChar"/>
          <w:rtl/>
        </w:rPr>
        <w:t>********************************************</w:t>
      </w:r>
    </w:p>
    <w:p w:rsidR="00000000" w:rsidRDefault="00DC2838">
      <w:pPr>
        <w:pStyle w:val="a6"/>
        <w:rPr>
          <w:rStyle w:val="HebrewChar"/>
          <w:rtl/>
        </w:rPr>
      </w:pPr>
      <w:r>
        <w:rPr>
          <w:rStyle w:val="HebrewChar"/>
          <w:rtl/>
        </w:rPr>
        <w:t>כדי להירשם:</w:t>
      </w:r>
    </w:p>
    <w:p w:rsidR="00000000" w:rsidRDefault="00DC2838">
      <w:pPr>
        <w:pStyle w:val="a6"/>
        <w:rPr>
          <w:rStyle w:val="HebrewChar"/>
          <w:rtl/>
        </w:rPr>
      </w:pPr>
    </w:p>
    <w:p w:rsidR="00000000" w:rsidRDefault="00DC2838">
      <w:pPr>
        <w:pStyle w:val="a6"/>
        <w:rPr>
          <w:rStyle w:val="HebrewChar"/>
          <w:rtl/>
        </w:rPr>
      </w:pPr>
      <w:r>
        <w:rPr>
          <w:rStyle w:val="HebrewChar"/>
          <w:rtl/>
        </w:rPr>
        <w:t xml:space="preserve">ניתן למצוא "טופס אוטומטי להרשמה" באתר שלנו: </w:t>
      </w:r>
    </w:p>
    <w:p w:rsidR="00000000" w:rsidRDefault="00DC2838">
      <w:pPr>
        <w:pStyle w:val="a6"/>
        <w:rPr>
          <w:rFonts w:ascii="Times New Roman" w:hAnsi="Times New Roman"/>
        </w:rPr>
      </w:pPr>
      <w:r>
        <w:rPr>
          <w:rFonts w:ascii="Times New Roman" w:hAnsi="Times New Roman"/>
        </w:rPr>
        <w:t>http://www.vbm-torah.org/hebsub.htm</w:t>
      </w:r>
    </w:p>
    <w:p w:rsidR="00000000" w:rsidRDefault="00DC2838">
      <w:pPr>
        <w:pStyle w:val="a6"/>
        <w:rPr>
          <w:rFonts w:ascii="Times New Roman" w:hAnsi="Times New Roman"/>
        </w:rPr>
      </w:pPr>
    </w:p>
    <w:p w:rsidR="00000000" w:rsidRDefault="00DC2838">
      <w:pPr>
        <w:pStyle w:val="a6"/>
        <w:rPr>
          <w:rStyle w:val="HebrewChar"/>
          <w:rtl/>
        </w:rPr>
      </w:pPr>
      <w:r>
        <w:rPr>
          <w:rStyle w:val="HebrewChar"/>
          <w:rtl/>
        </w:rPr>
        <w:t>דרך דואר אלקטרוני, אפשר לשלוח בקשה לכתובת</w:t>
      </w:r>
    </w:p>
    <w:p w:rsidR="00000000" w:rsidRDefault="00DC2838">
      <w:pPr>
        <w:pStyle w:val="a6"/>
        <w:rPr>
          <w:rStyle w:val="LatinChar"/>
          <w:rFonts w:ascii="Times New Roman" w:hAnsi="Times New Roman"/>
        </w:rPr>
      </w:pPr>
      <w:r>
        <w:rPr>
          <w:rStyle w:val="LatinChar"/>
          <w:rFonts w:ascii="Times New Roman" w:hAnsi="Times New Roman"/>
        </w:rPr>
        <w:t>MAJORDOMO@ETZION.OR</w:t>
      </w:r>
      <w:r>
        <w:rPr>
          <w:rStyle w:val="LatinChar"/>
          <w:rFonts w:ascii="Times New Roman" w:hAnsi="Times New Roman"/>
        </w:rPr>
        <w:t>G.IL</w:t>
      </w:r>
    </w:p>
    <w:p w:rsidR="00000000" w:rsidRDefault="00DC2838">
      <w:pPr>
        <w:pStyle w:val="a6"/>
        <w:rPr>
          <w:rStyle w:val="HebrewChar"/>
          <w:rtl/>
        </w:rPr>
      </w:pPr>
      <w:r>
        <w:rPr>
          <w:rStyle w:val="HebrewChar"/>
          <w:rtl/>
        </w:rPr>
        <w:t>עם התוכן:</w:t>
      </w:r>
    </w:p>
    <w:p w:rsidR="00000000" w:rsidRDefault="00DC2838">
      <w:pPr>
        <w:pStyle w:val="a6"/>
        <w:rPr>
          <w:rStyle w:val="LatinChar"/>
          <w:rFonts w:ascii="Times New Roman" w:hAnsi="Times New Roman"/>
        </w:rPr>
      </w:pPr>
      <w:r>
        <w:rPr>
          <w:rStyle w:val="LatinChar"/>
          <w:rFonts w:ascii="Times New Roman" w:hAnsi="Times New Roman"/>
        </w:rPr>
        <w:t>GET YHE-TEST H-SUBSCRIBE</w:t>
      </w:r>
    </w:p>
    <w:p w:rsidR="00000000" w:rsidRDefault="00DC2838">
      <w:pPr>
        <w:pStyle w:val="a6"/>
        <w:rPr>
          <w:rStyle w:val="LatinChar"/>
          <w:rFonts w:ascii="Times New Roman" w:hAnsi="Times New Roman"/>
        </w:rPr>
      </w:pPr>
    </w:p>
    <w:p w:rsidR="00000000" w:rsidRDefault="00DC2838">
      <w:pPr>
        <w:pStyle w:val="a6"/>
        <w:rPr>
          <w:rStyle w:val="HebrewChar"/>
          <w:rtl/>
        </w:rPr>
      </w:pPr>
      <w:r>
        <w:rPr>
          <w:rStyle w:val="HebrewChar"/>
          <w:rtl/>
        </w:rPr>
        <w:t>קיימת גם מערכת שיעורים באנגלית.  כדי לקבל את רשימת השיעורים יש לשלוח בקשה לכתובת:</w:t>
      </w:r>
    </w:p>
    <w:p w:rsidR="00000000" w:rsidRDefault="00DC2838">
      <w:pPr>
        <w:pStyle w:val="a6"/>
        <w:rPr>
          <w:rStyle w:val="LatinChar"/>
          <w:rFonts w:ascii="Times New Roman" w:hAnsi="Times New Roman"/>
        </w:rPr>
      </w:pPr>
      <w:r>
        <w:rPr>
          <w:rStyle w:val="LatinChar"/>
          <w:rFonts w:ascii="Times New Roman" w:hAnsi="Times New Roman"/>
        </w:rPr>
        <w:t>LISTS@VBM-TORAH.ORG</w:t>
      </w:r>
    </w:p>
    <w:p w:rsidR="00000000" w:rsidRDefault="00DC2838">
      <w:pPr>
        <w:pStyle w:val="a6"/>
        <w:rPr>
          <w:rStyle w:val="HebrewChar"/>
          <w:rtl/>
        </w:rPr>
      </w:pPr>
      <w:r>
        <w:rPr>
          <w:rStyle w:val="HebrewChar"/>
          <w:rtl/>
        </w:rPr>
        <w:t>עם התוכן:</w:t>
      </w:r>
    </w:p>
    <w:p w:rsidR="00000000" w:rsidRDefault="00DC2838">
      <w:pPr>
        <w:pStyle w:val="a6"/>
        <w:rPr>
          <w:rStyle w:val="LatinChar"/>
          <w:rFonts w:ascii="Times New Roman" w:hAnsi="Times New Roman"/>
        </w:rPr>
      </w:pPr>
      <w:r>
        <w:rPr>
          <w:rStyle w:val="LatinChar"/>
          <w:rFonts w:ascii="Times New Roman" w:hAnsi="Times New Roman"/>
        </w:rPr>
        <w:t>GET YHE-ABOUT COURSES</w:t>
      </w:r>
    </w:p>
    <w:p w:rsidR="00000000" w:rsidRDefault="00DC2838">
      <w:pPr>
        <w:pStyle w:val="a6"/>
        <w:rPr>
          <w:rStyle w:val="LatinChar"/>
          <w:rFonts w:ascii="Times New Roman" w:hAnsi="Times New Roman"/>
        </w:rPr>
      </w:pPr>
    </w:p>
    <w:p w:rsidR="00DC2838" w:rsidRDefault="00DC2838">
      <w:pPr>
        <w:pStyle w:val="a6"/>
        <w:rPr>
          <w:rtl/>
        </w:rPr>
      </w:pPr>
      <w:r>
        <w:rPr>
          <w:rStyle w:val="HebrewChar"/>
          <w:rtl/>
        </w:rPr>
        <w:t>בשאלות אפשר לפנות למשרד הישיבה 02-9931-456 ולבקש את משרד האינטרנט, או לכתוב לכתו</w:t>
      </w:r>
      <w:r>
        <w:rPr>
          <w:rStyle w:val="HebrewChar"/>
          <w:rtl/>
        </w:rPr>
        <w:t xml:space="preserve">בת </w:t>
      </w:r>
      <w:r>
        <w:rPr>
          <w:rStyle w:val="LatinChar"/>
          <w:rFonts w:ascii="Times New Roman" w:hAnsi="Times New Roman"/>
        </w:rPr>
        <w:t>YHE@ETZION.ORG.IL</w:t>
      </w:r>
    </w:p>
    <w:sectPr w:rsidR="00DC2838">
      <w:pgSz w:w="11906" w:h="16838"/>
      <w:pgMar w:top="1077" w:right="1134" w:bottom="1077" w:left="1134" w:header="709" w:footer="709" w:gutter="0"/>
      <w:cols w:num="2" w:space="709" w:equalWidth="0">
        <w:col w:w="4464" w:space="709"/>
        <w:col w:w="4464"/>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38" w:rsidRDefault="00DC2838">
      <w:r>
        <w:separator/>
      </w:r>
    </w:p>
  </w:endnote>
  <w:endnote w:type="continuationSeparator" w:id="0">
    <w:p w:rsidR="00DC2838" w:rsidRDefault="00D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38" w:rsidRDefault="00DC2838">
      <w:r>
        <w:separator/>
      </w:r>
    </w:p>
  </w:footnote>
  <w:footnote w:type="continuationSeparator" w:id="0">
    <w:p w:rsidR="00DC2838" w:rsidRDefault="00DC2838">
      <w:r>
        <w:continuationSeparator/>
      </w:r>
    </w:p>
  </w:footnote>
  <w:footnote w:id="1">
    <w:p w:rsidR="00000000" w:rsidRDefault="00DC2838">
      <w:pPr>
        <w:pStyle w:val="FootnoteText"/>
        <w:spacing w:line="240" w:lineRule="exact"/>
      </w:pPr>
      <w:r>
        <w:rPr>
          <w:rStyle w:val="FootnoteReference"/>
          <w:sz w:val="18"/>
          <w:szCs w:val="16"/>
          <w:rtl/>
        </w:rPr>
        <w:t>*</w:t>
      </w:r>
      <w:r>
        <w:rPr>
          <w:sz w:val="18"/>
          <w:szCs w:val="16"/>
          <w:rtl/>
        </w:rPr>
        <w:t xml:space="preserve"> שיחת הרב ליכטנשטיין מחג השבועות תשס"א. השיחה סוכמה ע"י זאב פרימר ויצחק ברט, ולא עברה את ביקורת הרב.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B"/>
    <w:rsid w:val="007F623B"/>
    <w:rsid w:val="00DC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9F8B67-722B-453C-82E2-525F4766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bidi/>
      <w:spacing w:after="0" w:line="240" w:lineRule="auto"/>
    </w:pPr>
    <w:rPr>
      <w:rFonts w:ascii="Times New Roman" w:hAnsi="Times New Roman"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line="240" w:lineRule="atLeast"/>
      <w:jc w:val="both"/>
    </w:pPr>
    <w:rPr>
      <w:rFonts w:cs="David"/>
      <w:szCs w:val="18"/>
    </w:r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David"/>
      <w:vertAlign w:val="superscript"/>
      <w:lang w:bidi="he-IL"/>
    </w:rPr>
  </w:style>
  <w:style w:type="paragraph" w:customStyle="1" w:styleId="a">
    <w:name w:val="רגיל"/>
    <w:basedOn w:val="Normal"/>
    <w:uiPriority w:val="99"/>
    <w:pPr>
      <w:spacing w:line="360" w:lineRule="auto"/>
      <w:ind w:firstLine="227"/>
      <w:jc w:val="both"/>
    </w:pPr>
    <w:rPr>
      <w:rFonts w:cs="David"/>
    </w:rPr>
  </w:style>
  <w:style w:type="paragraph" w:customStyle="1" w:styleId="NormalPar">
    <w:name w:val="NormalPar"/>
    <w:uiPriority w:val="99"/>
    <w:pPr>
      <w:autoSpaceDE w:val="0"/>
      <w:autoSpaceDN w:val="0"/>
      <w:bidi/>
      <w:spacing w:after="0" w:line="240" w:lineRule="auto"/>
    </w:pPr>
    <w:rPr>
      <w:rFonts w:ascii="Courier New" w:hAnsi="Courier New" w:cs="Miriam"/>
      <w:sz w:val="24"/>
      <w:szCs w:val="24"/>
    </w:rPr>
  </w:style>
  <w:style w:type="character" w:customStyle="1" w:styleId="LatinChar">
    <w:name w:val="Latin_Char"/>
    <w:uiPriority w:val="99"/>
    <w:rPr>
      <w:rFonts w:ascii="Courier New" w:hAnsi="Courier New"/>
      <w:lang w:val="en-US"/>
    </w:rPr>
  </w:style>
  <w:style w:type="character" w:customStyle="1" w:styleId="HebrewChar">
    <w:name w:val="Hebrew_Char"/>
    <w:uiPriority w:val="99"/>
  </w:style>
  <w:style w:type="paragraph" w:customStyle="1" w:styleId="a0">
    <w:name w:val="שם השיחה"/>
    <w:basedOn w:val="Normal"/>
    <w:uiPriority w:val="99"/>
    <w:pPr>
      <w:spacing w:before="120" w:after="60" w:line="360" w:lineRule="auto"/>
      <w:jc w:val="center"/>
    </w:pPr>
    <w:rPr>
      <w:rFonts w:cs="David"/>
      <w:b/>
      <w:bCs/>
      <w:sz w:val="16"/>
      <w:szCs w:val="28"/>
    </w:rPr>
  </w:style>
  <w:style w:type="paragraph" w:customStyle="1" w:styleId="a1">
    <w:name w:val="פרשה"/>
    <w:basedOn w:val="Normal"/>
    <w:uiPriority w:val="99"/>
    <w:pPr>
      <w:spacing w:after="60" w:line="360" w:lineRule="auto"/>
      <w:jc w:val="center"/>
    </w:pPr>
    <w:rPr>
      <w:rFonts w:cs="David"/>
      <w:b/>
      <w:bCs/>
      <w:szCs w:val="24"/>
    </w:rPr>
  </w:style>
  <w:style w:type="paragraph" w:customStyle="1" w:styleId="a2">
    <w:name w:val="ראש ישיבה"/>
    <w:basedOn w:val="Normal"/>
    <w:uiPriority w:val="99"/>
    <w:pPr>
      <w:spacing w:after="120" w:line="360" w:lineRule="auto"/>
      <w:jc w:val="center"/>
    </w:pPr>
    <w:rPr>
      <w:rFonts w:cs="David"/>
      <w:b/>
      <w:bCs/>
      <w:sz w:val="18"/>
      <w:szCs w:val="22"/>
    </w:rPr>
  </w:style>
  <w:style w:type="paragraph" w:customStyle="1" w:styleId="a3">
    <w:name w:val="פסוק פותח"/>
    <w:basedOn w:val="Normal"/>
    <w:uiPriority w:val="99"/>
    <w:pPr>
      <w:tabs>
        <w:tab w:val="right" w:pos="4479"/>
      </w:tabs>
      <w:spacing w:before="90" w:after="90" w:line="360" w:lineRule="auto"/>
      <w:ind w:right="284"/>
      <w:jc w:val="both"/>
    </w:pPr>
    <w:rPr>
      <w:rFonts w:cs="David"/>
      <w:sz w:val="16"/>
    </w:rPr>
  </w:style>
  <w:style w:type="paragraph" w:customStyle="1" w:styleId="a4">
    <w:name w:val="ציטוט"/>
    <w:basedOn w:val="Normal"/>
    <w:uiPriority w:val="99"/>
    <w:pPr>
      <w:tabs>
        <w:tab w:val="right" w:pos="4479"/>
      </w:tabs>
      <w:spacing w:before="60" w:after="60" w:line="360" w:lineRule="auto"/>
      <w:ind w:right="284"/>
      <w:jc w:val="both"/>
    </w:pPr>
    <w:rPr>
      <w:rFonts w:cs="David"/>
      <w:sz w:val="14"/>
      <w:szCs w:val="18"/>
    </w:rPr>
  </w:style>
  <w:style w:type="paragraph" w:customStyle="1" w:styleId="a5">
    <w:name w:val="לוגו"/>
    <w:basedOn w:val="a"/>
    <w:uiPriority w:val="99"/>
    <w:pPr>
      <w:spacing w:line="240" w:lineRule="auto"/>
      <w:ind w:firstLine="0"/>
    </w:pPr>
    <w:rPr>
      <w:sz w:val="18"/>
      <w:szCs w:val="16"/>
    </w:rPr>
  </w:style>
  <w:style w:type="paragraph" w:customStyle="1" w:styleId="a6">
    <w:name w:val="הנחיות הרשמה"/>
    <w:basedOn w:val="NormalPar"/>
    <w:uiPriority w:val="99"/>
    <w:rPr>
      <w:rFonts w:cs="David"/>
      <w:sz w:val="16"/>
      <w:szCs w:val="16"/>
    </w:rPr>
  </w:style>
  <w:style w:type="paragraph" w:styleId="BodyText">
    <w:name w:val="Body Text"/>
    <w:basedOn w:val="Normal"/>
    <w:link w:val="BodyTextChar"/>
    <w:uiPriority w:val="99"/>
    <w:pPr>
      <w:jc w:val="both"/>
    </w:pPr>
    <w:rPr>
      <w:rFonts w:cs="Narkisim"/>
      <w:szCs w:val="24"/>
    </w:r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paragraph" w:customStyle="1" w:styleId="-">
    <w:name w:val="מאמר - טקסט"/>
    <w:basedOn w:val="Normal"/>
    <w:uiPriority w:val="99"/>
    <w:pPr>
      <w:spacing w:line="360" w:lineRule="exact"/>
      <w:ind w:firstLine="357"/>
      <w:jc w:val="both"/>
    </w:pPr>
    <w:rPr>
      <w:rFonts w:cs="David"/>
      <w:spacing w:val="5"/>
      <w:szCs w:val="22"/>
    </w:rPr>
  </w:style>
  <w:style w:type="paragraph" w:customStyle="1" w:styleId="-0">
    <w:name w:val="מאמר - ציטוט"/>
    <w:basedOn w:val="-"/>
    <w:next w:val="-"/>
    <w:uiPriority w:val="99"/>
    <w:pPr>
      <w:tabs>
        <w:tab w:val="right" w:pos="8165"/>
      </w:tabs>
      <w:ind w:left="907" w:right="90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ישיבת הר עציון (בית המדרש האלקטרוני)</vt:lpstr>
    </vt:vector>
  </TitlesOfParts>
  <Company>YHE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ישיבת הר עציון (בית המדרש האלקטרוני)</dc:title>
  <dc:subject/>
  <dc:creator>boaz kallush</dc:creator>
  <cp:keywords/>
  <dc:description/>
  <cp:lastModifiedBy>aaron</cp:lastModifiedBy>
  <cp:revision>2</cp:revision>
  <cp:lastPrinted>2002-05-15T15:13:00Z</cp:lastPrinted>
  <dcterms:created xsi:type="dcterms:W3CDTF">2017-05-29T16:45:00Z</dcterms:created>
  <dcterms:modified xsi:type="dcterms:W3CDTF">2017-05-29T16:45:00Z</dcterms:modified>
</cp:coreProperties>
</file>